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AtDeckV 1977 — Anlagen zur Erzeugung ionisierender Strahlen</w:t>
      </w:r>
    </w:p>
    <w:p>
      <w:r>
        <w:rPr>
          <w:color w:val="555555"/>
          <w:sz w:val="18"/>
        </w:rPr>
        <w:t xml:space="preserve">Atomrechtliche Deckungsvorsorge-Verordnung</w:t>
      </w:r>
    </w:p>
    <w:p>
      <w:r>
        <w:rPr>
          <w:color w:val="555555"/>
          <w:sz w:val="18"/>
        </w:rPr>
        <w:t xml:space="preserve">Stand: 17.02.2022 (konsolidierte Textfassung, kein amtliches Inkrafttretensdatum)</w:t>
      </w:r>
    </w:p>
    <w:p>
      <w:r>
        <w:t xml:space="preserve">(1) Die Regeldeckungssumme beträgt für Anlagen zur Erzeugung ionisierender Strahlen, deren Errichtung und Betrieb einer Genehmigung bedarf, 25 Millionen Euro. Abweichend von Satz 1 beträgt für Ionenbeschleuniger, die für die Erzeugung von Radioisotopen zur Verwendung für die Positronen-Emissions-Tomographie oder Einzel-Photonen-Emissions-Tomographie im Zusammenhang mit der Ausübung der Heilkunde betrieben werden, die Regeldeckungssumme 1,5 Millionen Euro.</w:t>
      </w:r>
    </w:p>
    <w:p>
      <w:r>
        <w:t xml:space="preserve">(2) Bedarf nur der Betrieb der Anlage einer Genehmigung, so beträgt die Regeldeckungssumme</w:t>
      </w:r>
    </w:p>
    <w:p>
      <w:pPr>
        <w:ind w:left="420"/>
      </w:pPr>
      <w:r>
        <w:t xml:space="preserve">1. 5 Millionen Euro, sofern die Anlage bei der Ausübung der Heilkunde angewendet wird,</w:t>
      </w:r>
    </w:p>
    <w:p>
      <w:pPr>
        <w:ind w:left="420"/>
      </w:pPr>
      <w:r>
        <w:t xml:space="preserve">2. 1,5 Millionen Euro, sofern je Sekunde mehr als 108 Neutronen erzeugt werden oder die Endenergie der beschleunigten Elektronen mehr als 10 MeV oder die Endenergie der beschleunigten Ionen mehr als 1 MeV je Nukleon beträgt,</w:t>
      </w:r>
    </w:p>
    <w:p>
      <w:pPr>
        <w:ind w:left="420"/>
      </w:pPr>
      <w:r>
        <w:t xml:space="preserve">3. 500 000 Euro in allen übrigen Fällen.</w:t>
      </w:r>
    </w:p>
    <w:p>
      <w:r>
        <w:rPr>
          <w:color w:val="555555"/>
          <w:sz w:val="17"/>
        </w:rPr>
        <w:t xml:space="preserve">Zitiervorschlag: § 13 AtDeckV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https://recht.nulegal.eu/gesetze/AtDeckV%201977/13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