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12a AtDeckV 1977 — Kernanlagen in fortgeschrittener Stilllegung</w:t>
      </w:r>
    </w:p>
    <w:p>
      <w:r>
        <w:rPr>
          <w:color w:val="555555"/>
          <w:sz w:val="18"/>
        </w:rPr>
        <w:t xml:space="preserve">Atomrechtliche Deckungsvorsorge-Verordnung</w:t>
      </w:r>
    </w:p>
    <w:p>
      <w:r>
        <w:rPr>
          <w:color w:val="555555"/>
          <w:sz w:val="18"/>
        </w:rPr>
        <w:t xml:space="preserve">Stand: 17.02.2022 (konsolidierte Textfassung, kein amtliches Inkrafttretensdatum)</w:t>
      </w:r>
    </w:p>
    <w:p>
      <w:r>
        <w:t xml:space="preserve">(1) Die zuständige Behörde nimmt auf Antrag des Inhabers eine Kernanlage in Stilllegung, in der sich nur noch die aktivierten und kontaminierten Anlagenteile und radioaktive Stoffe zu Prüfzwecken befinden, von der Anwendung des Pariser Übereinkommens aus, wenn</w:t>
      </w:r>
    </w:p>
    <w:p>
      <w:pPr>
        <w:ind w:left="420"/>
      </w:pPr>
      <w:r>
        <w:t xml:space="preserve">1. die Anlage die aktivitätsbezogenen Festlegungen gemäß Anlage 6 einhält und</w:t>
      </w:r>
    </w:p>
    <w:p>
      <w:pPr>
        <w:ind w:left="420"/>
      </w:pPr>
      <w:r>
        <w:t xml:space="preserve">2. die mit der Anlage verbundene Exposition einer repräsentativen Person der Bevölkerung bei einem Ereignis, das zu einer unbeabsichtigten Exposition führt, ohne weitere Schutzmaßnahmen eine effektive Dosis von 1 Millisievert im Kalenderjahr nicht überschreitet.</w:t>
      </w:r>
    </w:p>
    <w:p>
      <w:r>
        <w:t xml:space="preserve">(2) Für Kernanlagen, die auf Grund von Absatz 1 von der Anwendung des Pariser Übereinkommens ausgenommen sind, bestimmt sich die Regeldeckungssumme nach Maßgabe der in der Anlage noch vorhandenen Aktivität nach Anlage 2 Spalte 3. Sofern die Bestimmung der Aktivität wegen der Besonderheit des Einzelfalls nicht oder nur mit unverhältnismäßigem Aufwand möglich ist, kann die Verwaltungsbehörde die Deckungssumme bis auf 3,5 Millionen Euro ermäßigen.</w:t>
      </w:r>
    </w:p>
    <w:p>
      <w:r>
        <w:rPr>
          <w:color w:val="555555"/>
          <w:sz w:val="17"/>
        </w:rPr>
        <w:t xml:space="preserve">Zitiervorschlag: § 12a AtDeckV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https://recht.nulegal.eu/gesetze/AtDeckV%201977/12a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12a AtDeckV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