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AtDeckV 1977 — Schiffsreaktoren</w:t>
      </w:r>
    </w:p>
    <w:p>
      <w:r>
        <w:rPr>
          <w:color w:val="555555"/>
          <w:sz w:val="18"/>
        </w:rPr>
        <w:t xml:space="preserve">Atomrechtliche Deckungsvorsorge-Verordnung</w:t>
      </w:r>
    </w:p>
    <w:p>
      <w:r>
        <w:rPr>
          <w:color w:val="555555"/>
          <w:sz w:val="18"/>
        </w:rPr>
        <w:t xml:space="preserve">Stand: 17.02.2022 (konsolidierte Textfassung, kein amtliches Inkrafttretensdatum)</w:t>
      </w:r>
    </w:p>
    <w:p>
      <w:r>
        <w:t xml:space="preserve">Die Regeldeckungssumme für Reaktoren, die zum Antrieb von Schiffen dienen (Schiffsreaktoren), beträgt je Megawatt Höchstleistung 500 000 Euro, höchstens jedoch 200 Millionen Euro. § 9 Absatz 1 Satz 2 und 3 gilt entsprechend.</w:t>
      </w:r>
    </w:p>
    <w:p>
      <w:r>
        <w:rPr>
          <w:color w:val="555555"/>
          <w:sz w:val="17"/>
        </w:rPr>
        <w:t xml:space="preserve">Zitiervorschlag: § 10 AtDeckV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https://recht.nulegal.eu/gesetze/AtDeckV%201977/10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