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AtDeckV 1977 — Arten der Deckungsvorsorge</w:t>
      </w:r>
    </w:p>
    <w:p>
      <w:r>
        <w:rPr>
          <w:color w:val="555555"/>
          <w:sz w:val="18"/>
        </w:rPr>
        <w:t xml:space="preserve">Atomrechtliche Deckungsvorsorge-Verordnung</w:t>
      </w:r>
    </w:p>
    <w:p>
      <w:r>
        <w:rPr>
          <w:color w:val="555555"/>
          <w:sz w:val="18"/>
        </w:rPr>
        <w:t xml:space="preserve">Stand: 17.02.2022 (konsolidierte Textfassung, kein amtliches Inkrafttretensdatum)</w:t>
      </w:r>
    </w:p>
    <w:p>
      <w:r>
        <w:t xml:space="preserve">Die Deckungsvorsorge für Anlagen und Tätigkeiten, bei denen eine atomrechtliche Haftung nach internationalen Verträgen oder nach dem Atomgesetz in Betracht kommt, kann durch</w:t>
      </w:r>
    </w:p>
    <w:p>
      <w:pPr>
        <w:ind w:left="420"/>
      </w:pPr>
      <w:r>
        <w:t xml:space="preserve">1. eine Haftpflichtversicherung oder</w:t>
      </w:r>
    </w:p>
    <w:p>
      <w:pPr>
        <w:ind w:left="420"/>
      </w:pPr>
      <w:r>
        <w:t xml:space="preserve">2. eine sonstige finanzielle Sicherheit</w:t>
      </w:r>
    </w:p>
    <w:p>
      <w:r>
        <w:t xml:space="preserve">erbracht werden. Die Verwaltungsbehörde kann zulassen, dass mehrere Vorsorgemaßnahmen gleicher oder verschiedener Art verbunden werden, soweit die Wirksamkeit und die Übersichtlichkeit der Deckungsvorsorge dadurch nicht beeinträchtigt werden.</w:t>
      </w:r>
    </w:p>
    <w:p>
      <w:r>
        <w:rPr>
          <w:color w:val="555555"/>
          <w:sz w:val="17"/>
        </w:rPr>
        <w:t xml:space="preserve">Zitiervorschlag: § 1 AtDeckV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https://recht.nulegal.eu/gesetze/AtDeckV%201977/1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