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AtAV 2009</w:t>
      </w:r>
    </w:p>
    <w:p>
      <w:r>
        <w:rPr>
          <w:color w:val="555555"/>
          <w:sz w:val="18"/>
        </w:rPr>
        <w:t xml:space="preserve">Atomrechtliche Abfallverbringungsverordnung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Satz 2 des Atomgesetzes, der durch Artikel 1 Nummer 9 des Gesetzes vom 6. April 1998 (BGBl. I S. 694) eingefügt wurde, und des § 11 Absatz 1 Nummer 6 und Absatz 2 des Atomgesetzes, der durch Artikel 1 Nummer 10 des Gesetzes vom 6. April 1998 (BGBl. I S. 694) eingefügt wurde, sowie des § 54 Absatz 1 Satz 1 des Atomgesetzes, der zuletzt durch Artikel 1 Nummer 5 des Gesetzes vom 12. August 2005 (BGBl. I S. 2365) geändert worden ist, sowie des § 54 Absatz 2 und des § 54 Absatz 3 des Atomgesetzes, der zuletzt durch Artikel 151 Nummer 6 Buchstabe b der Verordnung vom 29. Oktober 2001 (BGBl. I S. 2785; 2002 S. 2972) geändert worden ist, verordnet die Bundesregierung:</w:t>
      </w:r>
    </w:p>
    <w:p>
      <w:r>
        <w:rPr>
          <w:color w:val="555555"/>
          <w:sz w:val="17"/>
        </w:rPr>
        <w:t xml:space="preserve">Zitiervorschlag: Eingangsformel AtAV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https://recht.nulegal.eu/gesetze/AtAV%202009/eingangsformel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