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AtAV 2009 — Verbringung in ein Drittland</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Genehmigung nach § 5 Absatz 2 Satz 1 Nummer 1 Buchstabe b darf nur erteilt werden, wenn</w:t>
      </w:r>
    </w:p>
    <w:p>
      <w:pPr>
        <w:ind w:left="420"/>
      </w:pPr>
      <w:r>
        <w:t xml:space="preserve">1. das Bundesamt für Wirtschaft und Ausfuhrkontrolle auf Grund der Auskunft der zuständigen Behörde des Drittlands zu der Überzeugung gelangt, dass der Empfänger oder das Drittland die sichere Entsorgung radioaktiver Abfälle oder abgebrannter Brennelemente gewährleistet; dabei sind die von den anderen Mitgliedstaaten übermittelten Informationen zu berücksichtigen,</w:t>
      </w:r>
    </w:p>
    <w:p>
      <w:pPr>
        <w:ind w:left="420"/>
      </w:pPr>
      <w:r>
        <w:t xml:space="preserve">2. bezüglich der Durchfuhrmitgliedstaaten die Voraussetzungen des § 8 Absatz 1 Nummer 1 und 2 erfüllt sind,</w:t>
      </w:r>
    </w:p>
    <w:p>
      <w:pPr>
        <w:ind w:left="420"/>
      </w:pPr>
      <w:r>
        <w:t xml:space="preserve">3. ein Bedürfnis für die Verbringung in das Drittland besteht und</w:t>
      </w:r>
    </w:p>
    <w:p>
      <w:pPr>
        <w:ind w:left="420"/>
      </w:pPr>
      <w:r>
        <w:t xml:space="preserve">4. die Voraussetzungen des § 8 Absatz 1 Nummer 3 und 4 erfüllt sind.</w:t>
      </w:r>
    </w:p>
    <w:p>
      <w:r>
        <w:t xml:space="preserve">(2) § 8 Absatz 2 gilt entsprechend.</w:t>
      </w:r>
    </w:p>
    <w:p>
      <w:r>
        <w:rPr>
          <w:color w:val="555555"/>
          <w:sz w:val="17"/>
        </w:rPr>
        <w:t xml:space="preserve">Zitiervorschlag: § 9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