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AtAV 2009 — Verbringung in einen Mitgliedstaat</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Genehmigung nach § 5 Absatz 2 Satz 1 Nummer 1 Buchstabe a ist zu erteilen, wenn</w:t>
      </w:r>
    </w:p>
    <w:p>
      <w:pPr>
        <w:ind w:left="420"/>
      </w:pPr>
      <w:r>
        <w:t xml:space="preserve">1. die zuständigen Behörden aller betroffenen Mitgliedstaaten</w:t>
      </w:r>
    </w:p>
    <w:p>
      <w:pPr>
        <w:ind w:left="780"/>
      </w:pPr>
      <w:r>
        <w:t xml:space="preserve">a) unter Verwendung des einheitlichen Begleitscheins mitgeteilt haben, dass sie der beantragten Verbringung zustimmen, oder</w:t>
      </w:r>
    </w:p>
    <w:p>
      <w:pPr>
        <w:ind w:left="780"/>
      </w:pPr>
      <w:r>
        <w:t xml:space="preserve">b) nicht innerhalb von zwei Monaten nach Übermittlung der Empfangsbestätigung oder innerhalb der verlangten Zusatzfrist von höchstens einem Monat dem Bundesamt für Wirtschaft und Ausfuhrkontrolle mitgeteilt haben, dass sie die Zustimmung verweigern,</w:t>
      </w:r>
    </w:p>
    <w:p>
      <w:pPr>
        <w:ind w:left="420"/>
      </w:pPr>
      <w:r>
        <w:t xml:space="preserve">2. die Auflagen, unter denen die zuständigen Behörden des Bestimmungslands und der Durchfuhrländer zugestimmt haben, eingehalten werden können,</w:t>
      </w:r>
    </w:p>
    <w:p>
      <w:pPr>
        <w:ind w:left="420"/>
      </w:pPr>
      <w:r>
        <w:t xml:space="preserve">3. sichergestellt ist, dass die radioaktiven Abfälle oder abgebrannten Brennelemente vom Versender zurückgenommen werden oder anderweitig sicher verbleiben, wenn die Verbringung nicht zu Ende geführt werden kann oder die Bedingungen für die Verbringung nach den Bestimmungen dieser Verordnung nicht erfüllt werden können und</w:t>
      </w:r>
    </w:p>
    <w:p>
      <w:pPr>
        <w:ind w:left="420"/>
      </w:pPr>
      <w:r>
        <w:t xml:space="preserve">4. die Verbringung nicht gegen im Geltungsbereich dieser Verordnung geltende Rechtsvorschriften, insbesondere § 9a Absatz 1 Satz 2 und Absatz 2 Satz 1 und 3 des Atomgesetzes, verstößt.</w:t>
      </w:r>
    </w:p>
    <w:p>
      <w:r>
        <w:t xml:space="preserve">(2) Auflagen nach Absatz 1 Nummer 2 oder nach § 17 Absatz 1 Satz 2 des Atomgesetzes werden dem einheitlichen Begleitschein beigefügt.</w:t>
      </w:r>
    </w:p>
    <w:p>
      <w:r>
        <w:rPr>
          <w:color w:val="555555"/>
          <w:sz w:val="17"/>
        </w:rPr>
        <w:t xml:space="preserve">Zitiervorschlag: § 8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