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AtAV 2009 — Antragstellung</w:t>
      </w:r>
    </w:p>
    <w:p>
      <w:r>
        <w:rPr>
          <w:color w:val="555555"/>
          <w:sz w:val="18"/>
        </w:rPr>
        <w:t xml:space="preserve">Atomrechtliche Abfallverbringungsverordnung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Genehmigung nach § 5 ist beim Bundesamt für Wirtschaft und Ausfuhrkontrolle unter Verwendung von Abschnitt A-1 oder B-1 des einheitlichen Begleitscheins zu beantragen</w:t>
      </w:r>
    </w:p>
    <w:p>
      <w:pPr>
        <w:ind w:left="420"/>
      </w:pPr>
      <w:r>
        <w:t xml:space="preserve">1. in den Fällen des § 5 Absatz 2 Satz 1 Nummer 1 vom Versender,</w:t>
      </w:r>
    </w:p>
    <w:p>
      <w:pPr>
        <w:ind w:left="420"/>
      </w:pPr>
      <w:r>
        <w:t xml:space="preserve">2. in den Fällen des § 5 Absatz 2 Satz 1 Nummer 2 vom Empfänger,</w:t>
      </w:r>
    </w:p>
    <w:p>
      <w:pPr>
        <w:ind w:left="420"/>
      </w:pPr>
      <w:r>
        <w:t xml:space="preserve">3. in den Fällen des § 5 Absatz 2 Satz 1 Nummer 3 von der natürlichen oder juristischen Person, die für die Abwicklung der Verbringung im Inland verantwortlich ist.</w:t>
      </w:r>
    </w:p>
    <w:p>
      <w:r>
        <w:t xml:space="preserve">(2) Der einheitliche Begleitschein ist in drei Ausfertigungen einzureichen; das Bundesamt für Wirtschaft und Ausfuhrkontrolle kann weitere Ausfertigungen anfordern.</w:t>
      </w:r>
    </w:p>
    <w:p>
      <w:r>
        <w:t xml:space="preserve">(3) Das Bundesamt für Wirtschaft und Ausfuhrkontrolle übermittelt in den Fällen des § 5 Absatz 2 Satz 1 Nummer 1 der zuständigen Behörde des Mitgliedstaats oder des Drittlands, in den oder in das die radioaktiven Abfälle oder abgebrannten Brennelemente verbracht werden sollen, sowie in allen Fällen des § 5 Absatz 2 den zuständigen Behörden der Durchfuhrländer ein Exemplar des einheitlichen Begleitscheins in Kopie zwecks Zustimmung.</w:t>
      </w:r>
    </w:p>
    <w:p>
      <w:r>
        <w:rPr>
          <w:color w:val="555555"/>
          <w:sz w:val="17"/>
        </w:rPr>
        <w:t xml:space="preserve">Zitiervorschlag: § 6 AtAV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https://recht.nulegal.eu/gesetze/AtAV%202009/6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