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AtAV 2009 — Inkrafttreten, Außerkrafttreten</w:t>
      </w:r>
    </w:p>
    <w:p>
      <w:r>
        <w:rPr>
          <w:color w:val="555555"/>
          <w:sz w:val="18"/>
        </w:rPr>
        <w:t xml:space="preserve">Atomrechtliche Abfallverbringungsverordnung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25 AtAV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https://recht.nulegal.eu/gesetze/AtAV%202009/25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