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AtAV 2009 — Ordnungswidrigkeiten</w:t>
      </w:r>
    </w:p>
    <w:p>
      <w:r>
        <w:rPr>
          <w:color w:val="555555"/>
          <w:sz w:val="18"/>
        </w:rPr>
        <w:t xml:space="preserve">Atomrechtliche Abfallverbringungsverordnung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46 Absatz 1 Nummer 4 des Atomgesetzes handelt, wer vorsätzlich oder fahrlässig</w:t>
      </w:r>
    </w:p>
    <w:p>
      <w:pPr>
        <w:ind w:left="420"/>
      </w:pPr>
      <w:r>
        <w:t xml:space="preserve">1. ohne Genehmigung nach § 5 Absatz 2 Satz 1 oder § 16 Satz 1 radioaktive Abfälle oder abgebrannte Brennelemente verbringt,</w:t>
      </w:r>
    </w:p>
    <w:p>
      <w:pPr>
        <w:ind w:left="420"/>
      </w:pPr>
      <w:r>
        <w:t xml:space="preserve">2. entgegen § 13 Satz 2 oder 3, jeweils auch in Verbindung mit § 16 Satz 2, eine dort genannte Ausfertigung nicht, nicht richtig oder nicht vollständig mitführt oder die Erfüllung der dort genannten Verpflichtung nicht sicherstellt oder</w:t>
      </w:r>
    </w:p>
    <w:p>
      <w:pPr>
        <w:ind w:left="420"/>
      </w:pPr>
      <w:r>
        <w:t xml:space="preserve">3. entgegen § 18 Absatz 1 Satz 1 oder Absatz 3 Satz 1 eine Meldung nicht, nicht richtig, nicht vollständig oder nicht rechtzeitig macht.</w:t>
      </w:r>
    </w:p>
    <w:p>
      <w:r>
        <w:rPr>
          <w:color w:val="555555"/>
          <w:sz w:val="17"/>
        </w:rPr>
        <w:t xml:space="preserve">Zitiervorschlag: § 23 AtAV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https://recht.nulegal.eu/gesetze/AtAV%202009/23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