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AtAV 2009 — Übertragung der Ermächtigung zum Erlass von Rechtsverordnungen</w:t>
      </w:r>
    </w:p>
    <w:p>
      <w:r>
        <w:rPr>
          <w:color w:val="555555"/>
          <w:sz w:val="18"/>
        </w:rPr>
        <w:t xml:space="preserve">Atomrechtliche Abfallverbringungsverordnung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Das für die kerntechnische Sicherheit und den Strahlenschutz zuständige Bundesministerium für Umwelt, Naturschutz und nukleare Sicherheit wird ermächtigt, mit Zustimmung des Bundesrates Rechtsverordnungen nach Maßgabe des § 11 Absatz 1 Nummer 6 und Absatz 2 des Atomgesetzes zur Änderung des einheitlichen Begleitscheins dieser Verordnung zu erlassen.</w:t>
      </w:r>
    </w:p>
    <w:p>
      <w:r>
        <w:rPr>
          <w:color w:val="555555"/>
          <w:sz w:val="17"/>
        </w:rPr>
        <w:t xml:space="preserve">Zitiervorschlag: § 22 AtAV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https://recht.nulegal.eu/gesetze/AtAV%202009/22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