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AtAV 2009 — Aufbewahrung der einheitlichen Begleitscheine nach Abschluss des Verfahrens</w:t>
      </w:r>
    </w:p>
    <w:p>
      <w:r>
        <w:rPr>
          <w:color w:val="555555"/>
          <w:sz w:val="18"/>
        </w:rPr>
        <w:t xml:space="preserve">Atomrechtliche Abfallverbringungsverordnung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Abschluss des Genehmigungs- und Zustimmungsverfahrens behält das Bundesamt für Wirtschaft und Ausfuhrkontrolle die Ausfertigung 1 des einheitlichen Begleitscheins ein und sendet die Ausfertigungen 2 und 3 des einheitlichen Begleitscheins an den Antragsteller.</w:t>
      </w:r>
    </w:p>
    <w:p>
      <w:r>
        <w:t xml:space="preserve">(2) Die einheitlichen Begleitscheine sind von allen Beteiligten mindestens drei Jahre, vom Datum der letzten Eintragung an gerechnet, aufzubewahren.</w:t>
      </w:r>
    </w:p>
    <w:p>
      <w:r>
        <w:rPr>
          <w:color w:val="555555"/>
          <w:sz w:val="17"/>
        </w:rPr>
        <w:t xml:space="preserve">Zitiervorschlag: § 21 AtAV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https://recht.nulegal.eu/gesetze/AtAV%202009/21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