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AtAV 2009 — Verhältnis zu anderen Vorschriften</w:t>
      </w:r>
    </w:p>
    <w:p>
      <w:r>
        <w:rPr>
          <w:color w:val="555555"/>
          <w:sz w:val="18"/>
        </w:rPr>
        <w:t xml:space="preserve">Atomrechtliche Abfallverbringungsverordnung</w:t>
      </w:r>
    </w:p>
    <w:p>
      <w:r>
        <w:rPr>
          <w:color w:val="555555"/>
          <w:sz w:val="18"/>
        </w:rPr>
        <w:t xml:space="preserve">Stand: 10.06.2019 (konsolidierte Textfassung, kein amtliches Inkrafttretensdatum)</w:t>
      </w:r>
    </w:p>
    <w:p>
      <w:r>
        <w:t xml:space="preserve">Genehmigungs-, Anzeige- und Anmeldeerfordernisse sowie sonstige Anforderungen nach dem Atomgesetz und des Strahlenschutzgesetzes und der auf seiner Grundlage erlassenen Rechtsverordnungen in der jeweils geltenden Fassung sowie sonstige Verpflichtungen der Versender bei der grenzüberschreitenden Verbringung von radioaktiven Abfällen oder abgebrannten Brennelementen, die sich aus Bestimmungen der Europäischen Gemeinschaften, aus innerstaatlichen Rechtsvorschriften, internationalen Übereinkünften oder aus Bestimmungen anderer Mitgliedstaaten sowie Drittländern ergeben, bleiben unberührt. Eine Genehmigung nach § 3 des Atomgesetzes und § 12 der Strahlenschutzverordnung in der jeweils geltenden Fassung sowie eine Anmeldung nach § 13 der Strahlenschutzverordnung in der jeweils geltenden Fassung sind nicht erforderlich, soweit für die Einfuhr, Ausfuhr oder Durchfuhr radioaktiver Abfälle oder abgebrannter Brennelemente diese Verordnung anzuwenden ist.</w:t>
      </w:r>
    </w:p>
    <w:p>
      <w:r>
        <w:rPr>
          <w:color w:val="555555"/>
          <w:sz w:val="17"/>
        </w:rPr>
        <w:t xml:space="preserve">Zitiervorschlag: § 2 AtAV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https://recht.nulegal.eu/gesetze/AtAV%202009/2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