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AtAV 2009 — Nicht zu Ende geführte Verbringungen</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Das Bundesamt für Wirtschaft und Ausfuhrkontrolle kann entscheiden, dass eine den Geltungsbereich dieser Verordnung betreffende Verbringung nicht zu Ende geführt werden darf, wenn die Voraussetzungen für die Verbringung nach der Richtlinie 2006/117/Euratom nicht mehr erfüllt sind oder die Verbringung nicht der Genehmigung oder den Zustimmungen entspricht, die nach den in Umsetzung der Richtlinie 2006/117/ Euratom ergangenen Vorschriften erteilt wurden.</w:t>
      </w:r>
    </w:p>
    <w:p>
      <w:r>
        <w:t xml:space="preserve">(2) Das Bundesamt für Wirtschaft und Ausfuhrkontrolle unterrichtet die zuständigen Behörden aller von der Verbringung betroffenen Mitgliedstaaten und Drittländer unverzüglich von seiner Entscheidung nach Absatz 1.</w:t>
      </w:r>
    </w:p>
    <w:p>
      <w:r>
        <w:t xml:space="preserve">(3) Kann oder darf eine Verbringung nicht zu Ende geführt werden, trägt der Genehmigungsinhaber die dadurch entstehenden Kosten.</w:t>
      </w:r>
    </w:p>
    <w:p>
      <w:r>
        <w:rPr>
          <w:color w:val="555555"/>
          <w:sz w:val="17"/>
        </w:rPr>
        <w:t xml:space="preserve">Zitiervorschlag: § 17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