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AtAV 2009 — Genehmigung durch andere Mitgliedstaaten</w:t>
      </w:r>
    </w:p>
    <w:p>
      <w:r>
        <w:rPr>
          <w:color w:val="555555"/>
          <w:sz w:val="18"/>
        </w:rPr>
        <w:t xml:space="preserve">Atomrechtliche Abfallverbringungsverordnung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14 und 15 ist eine Verbringung radioaktiver Abfälle oder abgebrannter Brennelemente in oder durch das Inland nur zulässig, wenn die nach der Richtlinie 2006/117/Euratom des Rates vom 20. November 2006 über die Überwachung und Kontrolle der Verbringungen radioaktiver Abfälle und abgebrannter Brennelemente (ABl. L 337 vom 5.12.2006, S. 21) erforderliche Genehmigung von der zuständigen Behörde des jeweiligen anderen Mitgliedstaats erteilt worden ist. § 13 gilt entsprechend.</w:t>
      </w:r>
    </w:p>
    <w:p>
      <w:r>
        <w:rPr>
          <w:color w:val="555555"/>
          <w:sz w:val="17"/>
        </w:rPr>
        <w:t xml:space="preserve">Zitiervorschlag: § 16 AtAV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https://recht.nulegal.eu/gesetze/AtAV%202009/16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