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AtAV 2009 — Zustimmung zur Verbringung in das Inland aus einem Mitgliedstaat</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Die Verbringung radioaktiver Abfälle oder abgebrannter Brennelemente in das Inland aus einem Mitgliedstaat bedarf der Zustimmung. Die Entscheidung ergeht durch schriftlichen Verwaltungsakt unter Verwendung von Abschnitt A-3 oder B-3 des einheitlichen Begleitscheins. Die Zustimmung ist vom Bundesamt für Wirtschaft und Ausfuhrkontrolle im Benehmen mit der Landesbehörde, in deren Zuständigkeitsbereich der Bestimmungsort liegt, zu erteilen, wenn</w:t>
      </w:r>
    </w:p>
    <w:p>
      <w:pPr>
        <w:ind w:left="420"/>
      </w:pPr>
      <w:r>
        <w:t xml:space="preserve">1. der Empfänger</w:t>
      </w:r>
    </w:p>
    <w:p>
      <w:pPr>
        <w:ind w:left="780"/>
      </w:pPr>
      <w:r>
        <w:t xml:space="preserve">a) mit der Verbringung einverstanden ist und</w:t>
      </w:r>
    </w:p>
    <w:p>
      <w:pPr>
        <w:ind w:left="780"/>
      </w:pPr>
      <w:r>
        <w:t xml:space="preserve">b) über die erforderliche Genehmigung für den vorgesehenen Umgang mit den radioaktiven Abfällen oder abgebrannten Brennelementen und die geeigneten Einrichtungen verfügt oder diesen Umgang entsprechend einer bestehenden Verpflichtung angezeigt hat sowie</w:t>
      </w:r>
    </w:p>
    <w:p>
      <w:pPr>
        <w:ind w:left="420"/>
      </w:pPr>
      <w:r>
        <w:t xml:space="preserve">2. sichergestellt ist, dass die radioaktiven Abfälle oder abgebrannten Brennelemente vom Versender zurückgenommen werden oder anderweitig sicher verbleiben, wenn die Verbringung nicht zu Ende geführt werden kann oder die Bedingungen für die Verbringung nach den Bestimmungen dieser Verordnung nicht erfüllt werden können.</w:t>
      </w:r>
    </w:p>
    <w:p>
      <w:r>
        <w:t xml:space="preserve">(2) Die Zustimmung kann nur dann mit Auflagen verbunden werden, wenn damit sichergestellt werden soll, dass die Anforderungen für die Entsorgung radioaktiver Abfälle und abgebrannter Brennelemente sowie für die Beförderung von radioaktivem Material erfüllt werden.</w:t>
      </w:r>
    </w:p>
    <w:p>
      <w:r>
        <w:t xml:space="preserve">(3) Das Bundesamt für Wirtschaft und Ausfuhrkontrolle teilt der zuständigen Behörde des um Zustimmung ersuchenden Mitgliedstaats spätestens zwei Monate nach Übermittlung der Empfangsbestätigung unter Verwendung des einheitlichen Begleitscheins mit, ob es der Verbringung zustimmt und welche Auflagen es für erforderlich hält oder ob es die Zustimmung verweigert. Das Bundesamt für Wirtschaft und Ausfuhrkontrolle kann eine Zusatzfrist von höchstens einem Monat für die Mitteilung seiner Entscheidung verlangen. Liegt nach Ablauf der Fristen nach den Sätzen 1 und 2 keine Mitteilung vor, gilt die Zustimmung als erteilt.</w:t>
      </w:r>
    </w:p>
    <w:p>
      <w:r>
        <w:rPr>
          <w:color w:val="555555"/>
          <w:sz w:val="17"/>
        </w:rPr>
        <w:t xml:space="preserve">Zitiervorschlag: § 14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