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AtAV 2009 — Unterrichtungen</w:t>
      </w:r>
    </w:p>
    <w:p>
      <w:r>
        <w:rPr>
          <w:color w:val="555555"/>
          <w:sz w:val="18"/>
        </w:rPr>
        <w:t xml:space="preserve">Atomrechtliche Abfallverbringungsverordnung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Von der Erteilung einer Genehmigung nach § 5 Absatz 2 Satz 1 unterrichtet das Bundesamt für Wirtschaft und Ausfuhrkontrolle unter Verwendung einer Ausfertigung des einheitlichen Begleitscheins mit den beigefügten Auflagen die zuständigen Behörden aller von der Verbringung betroffenen Mitgliedstaaten und Drittländer.</w:t>
      </w:r>
    </w:p>
    <w:p>
      <w:r>
        <w:t xml:space="preserve">(2) In den Fällen des § 9 unterrichtet der Versender das Bundesamt für Wirtschaft und Ausfuhrkontrolle rechtzeitig über den Beginn der Verbringung. Dieses setzt die zuständige Behörde des Bestimmungslands von der Verbringung in Kenntnis.</w:t>
      </w:r>
    </w:p>
    <w:p>
      <w:r>
        <w:rPr>
          <w:color w:val="555555"/>
          <w:sz w:val="17"/>
        </w:rPr>
        <w:t xml:space="preserve">Zitiervorschlag: § 12 AtAV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https://recht.nulegal.eu/gesetze/AtAV%202009/12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