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AtAV 2009 — Anwendungsbereich</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Diese Verordnung gilt für die Überwachung und Kontrolle grenzüberschreitender Verbringungen radioaktiver Abfälle und abgebrannter Brennelemente.</w:t>
      </w:r>
    </w:p>
    <w:p>
      <w:r>
        <w:t xml:space="preserve">(2) Diese Verordnung gilt nicht</w:t>
      </w:r>
    </w:p>
    <w:p>
      <w:pPr>
        <w:ind w:left="420"/>
      </w:pPr>
      <w:r>
        <w:t xml:space="preserve">1. für umschlossene Strahlenquellen, mit denen nicht mehr umgegangen wird oder umgegangen werden soll und die an den Lieferanten oder Hersteller von Strahlenquellen zurückgegeben oder an eine anerkannte Einrichtung im Inland nach § 9a Absatz 3 Satz 1 des Atomgesetzes abgegeben werden;</w:t>
      </w:r>
    </w:p>
    <w:p>
      <w:pPr>
        <w:ind w:left="420"/>
      </w:pPr>
      <w:r>
        <w:t xml:space="preserve">2. für Verbringungen von Abfällen, die von Tätigkeiten im Sinne von § 4 Absatz 1 Satz 1 Nummer 10 des Strahlenschutzgesetzes herrühren;</w:t>
      </w:r>
    </w:p>
    <w:p>
      <w:pPr>
        <w:ind w:left="420"/>
      </w:pPr>
      <w:r>
        <w:t xml:space="preserve">3. für Verbringungen radioaktiver Stoffe, die durch Aufarbeitung für eine weitere Verwendung wiedergewonnen wurden.</w:t>
      </w:r>
    </w:p>
    <w:p>
      <w:r>
        <w:rPr>
          <w:color w:val="555555"/>
          <w:sz w:val="17"/>
        </w:rPr>
        <w:t xml:space="preserve">Zitiervorschlag: § 1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