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AsylbLG — Verhältnis zu anderen Vorschriften</w:t>
      </w:r>
    </w:p>
    <w:p>
      <w:r>
        <w:rPr>
          <w:color w:val="555555"/>
          <w:sz w:val="18"/>
        </w:rPr>
        <w:t xml:space="preserve">Asylbewerberleistungsgesetz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Leistungsberechtigte erhalten keine Leistungen nach dem Zwölften Buch Sozialgesetzbuch oder vergleichbaren Landesgesetzen.</w:t>
      </w:r>
    </w:p>
    <w:p>
      <w:r>
        <w:t xml:space="preserve">(2) Leistungen anderer, besonders Unterhaltspflichtiger, der Träger von Sozialleistungen oder der Länder im Rahmen ihrer Pflicht nach § 44 Abs. 1 des Asylgesetzes werden durch dieses Gesetz nicht berührt.</w:t>
      </w:r>
    </w:p>
    <w:p>
      <w:r>
        <w:t xml:space="preserve">(3) Die §§ 60 bis 67 des Ersten Buches Sozialgesetzbuch über die Mitwirkung des Leistungsberechtigten sind entsprechend anzuwenden. Als Mitwirkung im Sinne des § 60 Absatz 1 des Ersten Buches Sozialgesetzbuch gilt auch, dass Personen, die Leistungen nach diesem Gesetz als Leistungsberechtigte nach § 1 Absatz 1 Nummer 1, 2, 4, 5 oder 7 beantragen oder beziehen, auf Verlangen der zuständigen Leistungsbehörde die Abnahme ihrer Fingerabdrücke zu dulden haben, wenn dies nach § 11 Absatz 3a zur Prüfung ihrer Identität erforderlich ist.</w:t>
      </w:r>
    </w:p>
    <w:p>
      <w:r>
        <w:t xml:space="preserve">(4) Folgende Bestimmungen des Zehnten Buches Sozialgesetzbuch sind entsprechend anzuwenden:</w:t>
      </w:r>
    </w:p>
    <w:p>
      <w:pPr>
        <w:ind w:left="420"/>
      </w:pPr>
      <w:r>
        <w:t xml:space="preserve">1. die §§ 44 bis 50 über die Rücknahme, den Widerruf und die Aufhebung eines Verwaltungsakts sowie über die Erstattung zu Unrecht erbrachter Leistungen,</w:t>
      </w:r>
    </w:p>
    <w:p>
      <w:pPr>
        <w:ind w:left="420"/>
      </w:pPr>
      <w:r>
        <w:t xml:space="preserve">2. der § 99 über die Auskunftspflicht von Angehörigen, Unterhaltspflichtigen oder sonstigen Personen und</w:t>
      </w:r>
    </w:p>
    <w:p>
      <w:pPr>
        <w:ind w:left="420"/>
      </w:pPr>
      <w:r>
        <w:t xml:space="preserve">3. die §§ 102 bis 114 über Erstattungsansprüche der Leistungsträger untereinander.</w:t>
      </w:r>
    </w:p>
    <w:p>
      <w:r>
        <w:t xml:space="preserve">§ 44 des Zehnten Buches Sozialgesetzbuch gilt jedoch nur mit der Maßgabe, dass</w:t>
      </w:r>
    </w:p>
    <w:p>
      <w:pPr>
        <w:ind w:left="420"/>
      </w:pPr>
      <w:r>
        <w:t xml:space="preserve">1. rechtswidrige nicht begünstigende Verwaltungsakte nach den Absätzen 1 und 2 nicht später als vier Jahre nach Ablauf des Jahres, in dem der Verwaltungsakt bekanntgegeben wurde, zurückzunehmen sind; ausreichend ist, wenn die Rücknahme innerhalb dieses Zeitraums beantragt wird,</w:t>
      </w:r>
    </w:p>
    <w:p>
      <w:pPr>
        <w:ind w:left="420"/>
      </w:pPr>
      <w:r>
        <w:t xml:space="preserve">2. anstelle des Zeitraums von vier Jahren nach Absatz 4 Satz 1 ein Zeitraum von einem Jahr tritt.</w:t>
      </w:r>
    </w:p>
    <w:p>
      <w:r>
        <w:t xml:space="preserve">(5) Die §§ 117 und 118 des Zwölften Buches Sozialgesetzbuch sowie die auf Grund des § 120 Abs. 1 des Zwölften Buches Sozialgesetzbuch oder des § 117 des Bundessozialhilfegesetzes erlassenen Rechtsverordnungen sind entsprechend anzuwenden.</w:t>
      </w:r>
    </w:p>
    <w:p>
      <w:r>
        <w:rPr>
          <w:color w:val="555555"/>
          <w:sz w:val="17"/>
        </w:rPr>
        <w:t xml:space="preserve">Zitiervorschlag: § 9 AsylbLG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https://recht.nulegal.eu/gesetze/AsylbLG/9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