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7a AsylbLG — Sicherheitsleistung</w:t>
      </w:r>
    </w:p>
    <w:p>
      <w:r>
        <w:rPr>
          <w:color w:val="555555"/>
          <w:sz w:val="18"/>
        </w:rPr>
        <w:t xml:space="preserve">Asylbewerberleistungsgesetz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Leistungsberechtigten kann wegen der ihnen und ihren Familienangehörigen zu gewährenden Leistungen nach diesem Gesetz Sicherheit verlangt werden, soweit Vermögen im Sinne von § 7 Abs. 1 Satz 1 vorhanden ist. Die Anordnung der Sicherheitsleistung kann ohne vorherige Vollstreckungsandrohung im Wege des unmittelbaren Zwangs erfolgen.</w:t>
      </w:r>
    </w:p>
    <w:p>
      <w:r>
        <w:rPr>
          <w:color w:val="555555"/>
          <w:sz w:val="17"/>
        </w:rPr>
        <w:t xml:space="preserve">Zitiervorschlag: § 7a AsylbLG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https://recht.nulegal.eu/gesetze/AsylbLG/7a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