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AsylbLG — Sonstige Maßnahmen zur Integration</w:t>
      </w:r>
    </w:p>
    <w:p>
      <w:r>
        <w:rPr>
          <w:color w:val="555555"/>
          <w:sz w:val="18"/>
        </w:rPr>
        <w:t xml:space="preserve">Asylbewerberleistungsgesetz</w:t>
      </w:r>
    </w:p>
    <w:p>
      <w:r>
        <w:rPr>
          <w:color w:val="555555"/>
          <w:sz w:val="18"/>
        </w:rPr>
        <w:t xml:space="preserve">Stand: 26.06.2020 (konsolidierte Textfassung, kein amtliches Inkrafttretensdatum)</w:t>
      </w:r>
    </w:p>
    <w:p>
      <w:r>
        <w:t xml:space="preserve">(1) Die nach diesem Gesetz zuständige Behörde kann arbeitsfähige, nicht erwerbstätige Leistungsberechtigte, die das 18. Lebensjahr vollendet haben und der Vollzeitschulpflicht nicht mehr unterliegen und zu dem in § 44 Absatz 4 Satz 2 Nummer 1 bis 3 des Aufenthaltsgesetzes genannten Personenkreis gehören, schriftlich verpflichten, an einem Integrationskurs nach § 43 des Aufenthaltsgesetzes teilzunehmen.</w:t>
      </w:r>
    </w:p>
    <w:p>
      <w:r>
        <w:t xml:space="preserve">(2) Leistungsberechtigte nach Absatz 1, die sich trotz schriftlicher Belehrung über die Rechtsfolgen weigern, einen für sie zumutbaren Integrationskurs aus von ihnen zu vertretenden Gründen aufzunehmen oder ordnungsgemäß am Integrationskurs teilzunehmen, haben nur Anspruch auf Leistungen entsprechend § 1a Absatz 1. § 11 Absatz 4 des Zwölften Buches Sozialgesetzbuch gilt für die Beurteilung der Zumutbarkeit entsprechend. Ein sonstiger wichtiger Grund im Sinne von § 11 Absatz 4 Satz 1 Nummer 3 des Zwölften Buches Sozialgesetzbuch kann insbesondere auch dann vorliegen, wenn der Leistungsberechtigte eine Beschäftigung auf dem allgemeinen Arbeitsmarkt, eine Berufsausbildung oder ein Studium aufnimmt oder aufgenommen hat. Satz 1 gilt nicht, wenn die leistungsberechtigte Person einen wichtigen Grund für ihr Verhalten darlegt und nachweist.</w:t>
      </w:r>
    </w:p>
    <w:p>
      <w:r>
        <w:t xml:space="preserve">(3) Die nach diesem Gesetz zuständige Behörde darf die für die Erfüllung ihrer Aufgaben nach den Absätzen 1 und 2 erforderlichen personenbezogenen Daten von Leistungsberechtigten verarbeiten, einschließlich Angaben</w:t>
      </w:r>
    </w:p>
    <w:p>
      <w:pPr>
        <w:ind w:left="420"/>
      </w:pPr>
      <w:r>
        <w:t xml:space="preserve">1. zu Sprachkenntnissen und</w:t>
      </w:r>
    </w:p>
    <w:p>
      <w:pPr>
        <w:ind w:left="420"/>
      </w:pPr>
      <w:r>
        <w:t xml:space="preserve">2. zur Durchführung eines Integrationskurses nach § 43 des Aufenthaltsgesetzes oder einer Maßnahme der berufsbezogenen Deutschsprachförderung nach § 45a des Aufenthaltsgesetzes.</w:t>
      </w:r>
    </w:p>
    <w:p>
      <w:r>
        <w:rPr>
          <w:color w:val="555555"/>
          <w:sz w:val="17"/>
        </w:rPr>
        <w:t xml:space="preserve">Zitiervorschlag: § 5b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