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AsylbLG — Übergangsregelung für die Änderung der Dauer des Grundleistungsbezuges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27.02.2024 (konsolidierte Textfassung, kein amtliches Inkrafttretensdatum)</w:t>
      </w:r>
    </w:p>
    <w:p>
      <w:r>
        <w:t xml:space="preserve">Für Leistungsberechtigte, die bis zum 26. Februar 2024 Leistungen gemäß § 2 Absatz 1 erhalten haben, ist § 2 dieses Gesetzes in der Fassung der Bekanntmachung vom 5. August 1997 (BGBl. I S. 2022), das zuletzt durch Artikel 4 des Gesetzes vom 23. Mai 2022 (BGBl. I S. 760) geändert worden ist, weiter anzuwenden.</w:t>
      </w:r>
    </w:p>
    <w:p>
      <w:r>
        <w:rPr>
          <w:color w:val="555555"/>
          <w:sz w:val="17"/>
        </w:rPr>
        <w:t xml:space="preserve">Zitiervorschlag: § 20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