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AsylbLG — Dauer der Anspruchseinschränkung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Anspruchseinschränkungen nach diesem Gesetz sind auf sechs Monate zu befristen.</w:t>
      </w:r>
    </w:p>
    <w:p>
      <w:r>
        <w:t xml:space="preserve">(2) Im Anschluss ist die Anspruchseinschränkung bei fortbestehender Pflichtverletzung fortzusetzen, sofern die gesetzlichen Voraussetzungen der Anspruchseinschränkung weiterhin erfüllt werden.</w:t>
      </w:r>
    </w:p>
    <w:p>
      <w:r>
        <w:rPr>
          <w:color w:val="555555"/>
          <w:sz w:val="17"/>
        </w:rPr>
        <w:t xml:space="preserve">Zitiervorschlag: § 14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