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AsylbLG — Ergänzende Bestimmungen</w:t>
      </w:r>
    </w:p>
    <w:p>
      <w:r>
        <w:rPr>
          <w:color w:val="555555"/>
          <w:sz w:val="18"/>
        </w:rPr>
        <w:t xml:space="preserve">Asylbewerberleistungsgesetz</w:t>
      </w:r>
    </w:p>
    <w:p>
      <w:r>
        <w:rPr>
          <w:color w:val="555555"/>
          <w:sz w:val="18"/>
        </w:rPr>
        <w:t xml:space="preserve">Stand: 12.06.2026 (konsolidierte Textfassung, kein amtliches Inkrafttretensdatum)</w:t>
      </w:r>
    </w:p>
    <w:p>
      <w:r>
        <w:t xml:space="preserve">(1) Im Rahmen von Leistungen nach diesem Gesetz ist auf die Leistungen bestehender Rückführungs- und Weiterwanderungsprogramme, die Leistungsberechtigten gewährt werden können, hinzuweisen; in geeigneten Fällen ist auf eine Inanspruchnahme solcher Programme hinzuwirken.</w:t>
      </w:r>
    </w:p>
    <w:p>
      <w:r>
        <w:t xml:space="preserve">(2) Leistungsberechtigten darf in den Teilen der Bundesrepublik Deutschland, in denen sie sich einer asyl- oder ausländerrechtlichen räumlichen Beschränkung oder einer Verpflichtung nach § 68 Absatz 1 Satz 1 oder § 68a Absatz 1 Satz 1 des Asylgesetzes zuwider aufhalten, von der für den tatsächlichen Aufenthaltsort zuständigen Behörde regelmäßig nur eine Reisebeihilfe zur Deckung des unabweisbaren Bedarfs für die Reise zu ihrem rechtmäßigen Aufenthaltsort gewährt werden. Leistungsberechtigten darf in den Teilen der Bundesrepublik Deutschland, in denen sie entgegen einer Wohnsitzauflage ihren gewöhnlichen Aufenthalt nehmen, von der für den tatsächlichen Aufenthaltsort zuständigen Behörde regelmäßig nur eine Reisebeihilfe zur Deckung des unabweisbaren Bedarfs für die Reise zu dem Ort gewährt werden, an dem sie entsprechend der Wohnsitzauflage ihren gewöhnlichen Aufenthalt zu nehmen haben. Die Leistungen nach den Sätzen 1 und 2 können als Sach- oder Geldleistung oder mittels Bezahlkarte erbracht werden.</w:t>
      </w:r>
    </w:p>
    <w:p>
      <w:r>
        <w:t xml:space="preserve">(2a) Leistungsberechtigte nach § 1 Absatz 1 Nummer 1a erhalten bis zur Ausstellung eines Ankunftsnachweises nach § 63a des Asylgesetzes nur Leistungen entsprechend § 1a Absatz 1. An die Stelle der Leistungen nach Satz 1 treten die Leistungen nach den §§ 3 bis 6, auch wenn dem Leistungsberechtigten ein Ankunftsnachweis nach § 63a Absatz 1 Satz 1 des Asylgesetzes noch nicht ausgestellt wurde, sofern</w:t>
      </w:r>
    </w:p>
    <w:p>
      <w:pPr>
        <w:ind w:left="420"/>
      </w:pPr>
      <w:r>
        <w:t xml:space="preserve">1. die in § 63a des Asylgesetzes vorausgesetzte erkennungsdienstliche Behandlung erfolgt ist,</w:t>
      </w:r>
    </w:p>
    <w:p>
      <w:pPr>
        <w:ind w:left="420"/>
      </w:pPr>
      <w:r>
        <w:t xml:space="preserve">2. der Leistungsberechtigte von der Aufnahmeeinrichtung, auf die er verteilt worden ist, aufgenommen worden ist, und</w:t>
      </w:r>
    </w:p>
    <w:p>
      <w:pPr>
        <w:ind w:left="420"/>
      </w:pPr>
      <w:r>
        <w:t xml:space="preserve">3. der Leistungsberechtigte die fehlende Ausstellung des Ankunftsnachweises nicht zu vertreten hat.</w:t>
      </w:r>
    </w:p>
    <w:p>
      <w:r>
        <w:t xml:space="preserve">Der Leistungsberechtigte hat die fehlende Ausstellung des Ankunftsnachweises insbesondere dann nicht zu vertreten, wenn in der für die Ausstellung seines Ankunftsnachweises zuständigen Stelle die technischen Voraussetzungen für die Ausstellung von Ankunftsnachweisen noch nicht vorliegen. Der Leistungsberechtigte hat die fehlende Ausstellung des Ankunftsnachweises zu vertreten, wenn er seine Mitwirkungspflichten nach § 15 Absatz 2 Nummer 1, 3, 4, 5 oder 7 des Asylgesetzes verletzt hat. Die Sätze 1 bis 4 gelten auch</w:t>
      </w:r>
    </w:p>
    <w:p>
      <w:pPr>
        <w:ind w:left="420"/>
      </w:pPr>
      <w:r>
        <w:t xml:space="preserve">1. für Leistungsberechtigte nach § 1 Absatz 1 Nummer 5, die aus einem sicheren Drittstaat (§ 26a des Asylgesetzes) unerlaubt eingereist sind und als Asylsuchende nach den Vorschriften des Asylgesetzes oder des Aufenthaltsgesetzes erkennungsdienstlich zu behandeln sind, und</w:t>
      </w:r>
    </w:p>
    <w:p>
      <w:pPr>
        <w:ind w:left="420"/>
      </w:pPr>
      <w:r>
        <w:t xml:space="preserve">2. für Leistungsberechtigte nach § 1 Absatz 1 Nummer 7, die einer Wohnverpflichtung nach § 71 Absatz 1 Satz 3 des Asylgesetzes in Verbindung mit den §§ 47 bis 50 des Asylgesetzes unterliegen.</w:t>
      </w:r>
    </w:p>
    <w:p>
      <w:r>
        <w:t xml:space="preserve">(3) Die zuständige Behörde überprüft die Personen, die Leistungen nach diesem Gesetz beziehen, auf Übereinstimmung der ihr vorliegenden Daten mit den der Ausländerbehörde über diese Personen vorliegenden Daten. Sie darf für die Überprüfung nach Satz 1 Name, Vorname (Rufname), Geburtsdatum, Geburtsort, Staatsangehörigkeiten, Geschlecht, Familienstand, Anschrift, Aufenthaltsstatus und Aufenthaltszeiten dieser Personen sowie die für diese Personen eingegangenen Verpflichtungen nach § 68 des Aufenthaltsgesetzes der zuständigen Ausländerbehörde übermitteln. Die Ausländerbehörde führt den Abgleich mit den nach Satz 2 übermittelten Daten durch und übermittelt der zuständigen Behörde die Ergebnisse des Abgleichs. Die Ausländerbehörde übermittelt der zuständigen Behörde ferner Änderungen der in Satz 2 genannten Daten. Die Überprüfungen können auch regelmäßig im Wege des automatisierten Datenabgleichs durchgeführt werden.</w:t>
      </w:r>
    </w:p>
    <w:p>
      <w:r>
        <w:t xml:space="preserve">(3a) Soweit nach einem Datenabruf aus dem Ausländerzentralregister Zweifel an der Identität einer Person, die Leistungen nach diesem Gesetz als Leistungsberechtigter nach § 1 Absatz 1 Nummer 1, 2, 4, 5 oder 7 beantragt oder bezieht, fortbestehen, erhebt die zuständige Behörde zur weiteren Überprüfung der Identität Fingerabdrücke der Person und nimmt eine Überprüfung der Identität mittels der Fingerabdruckdaten durch Abfrage des Ausländerzentralregisters vor. Die Befugnis nach Satz 1 setzt keinen vorherigen Datenabgleich mit der Ausländerbehörde nach Absatz 3 voraus. Von den Regelungen des Verwaltungsverfahrens in den Sätzen 1 und 2 kann durch Landesrecht nicht abgewichen werden.</w:t>
      </w:r>
    </w:p>
    <w:p>
      <w:r>
        <w:t xml:space="preserve">(3b) Die Verarbeitung der Identifikationsnummer nach dem Identifikationsnummerngesetz durch die zuständige Behörde ist zum Zwecke der Erbringung von Verwaltungsleistungen nach dem Onlinezugangsgesetz zulässig.</w:t>
      </w:r>
    </w:p>
    <w:p>
      <w:r>
        <w:t xml:space="preserve">(4) Keine aufschiebende Wirkung haben Widerspruch und Anfechtungsklage gegen einen Verwaltungsakt, mit dem</w:t>
      </w:r>
    </w:p>
    <w:p>
      <w:pPr>
        <w:ind w:left="420"/>
      </w:pPr>
      <w:r>
        <w:t xml:space="preserve">1. eine Leistung nach diesem Gesetz ganz oder teilweise entzogen oder die Leistungsbewilligung aufgehoben wird oder</w:t>
      </w:r>
    </w:p>
    <w:p>
      <w:pPr>
        <w:ind w:left="420"/>
      </w:pPr>
      <w:r>
        <w:t xml:space="preserve">2. eine Einschränkung des Leistungsanspruchs nach § 1a oder § 11 Absatz 2a festgestellt wird.</w:t>
      </w:r>
    </w:p>
    <w:p>
      <w:r>
        <w:rPr>
          <w:color w:val="555555"/>
          <w:sz w:val="17"/>
        </w:rPr>
        <w:t xml:space="preserve">Zitiervorschlag: § 11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