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AsylZBV 2026 — Zuständigkeiten des Bundesamtes für Migration und Flüchtlinge</w:t>
      </w:r>
    </w:p>
    <w:p>
      <w:r>
        <w:rPr>
          <w:color w:val="555555"/>
          <w:sz w:val="18"/>
        </w:rPr>
        <w:t xml:space="preserve">Asylzuständigkeitsbestimmungsverordnung</w:t>
      </w:r>
    </w:p>
    <w:p>
      <w:r>
        <w:rPr>
          <w:color w:val="555555"/>
          <w:sz w:val="18"/>
        </w:rPr>
        <w:t xml:space="preserve">Stand: 12.06.2026 (konsolidierte Textfassung, kein amtliches Inkrafttretensdatum)</w:t>
      </w:r>
    </w:p>
    <w:p>
      <w:r>
        <w:t xml:space="preserve">(1) Das Bundesamt für Migration und Flüchtlinge ist zuständig für die Ausführung der Verordnung (EU) Nr. 604/2013, der Verordnung (EU) 2024/1351, der Durchführungsverordnung (EU) Nr. 118/2014 und der Durchführungsverordnung (EU) 2025/2055 in Bezug auf</w:t>
      </w:r>
    </w:p>
    <w:p>
      <w:pPr>
        <w:ind w:left="420"/>
      </w:pPr>
      <w:r>
        <w:t xml:space="preserve">1. die Übermittlung von Auf- und Wiederaufnahmeersuchen beziehungsweise Wiederaufnahmemitteilungen an die anderen Staaten sowie die Festlegung der Modalitäten der Überstellung,</w:t>
      </w:r>
    </w:p>
    <w:p>
      <w:pPr>
        <w:ind w:left="420"/>
      </w:pPr>
      <w:r>
        <w:t xml:space="preserve">2. die Entscheidung über Auf- und Wiederaufnahmeersuchen beziehungsweise Wiederaufnahmemitteilungen der anderen Staaten sowie die Festlegung der Modalitäten der Überstellung,</w:t>
      </w:r>
    </w:p>
    <w:p>
      <w:pPr>
        <w:ind w:left="420"/>
      </w:pPr>
      <w:r>
        <w:t xml:space="preserve">3. den Informationsaustausch sowie die notwendigen Mitteilungen an die betroffenen Drittstaatsangehörigen.</w:t>
      </w:r>
    </w:p>
    <w:p>
      <w:r>
        <w:t xml:space="preserve">(2) Das Bundesamt für Migration und Flüchtlinge ist auch zuständig für die Zusammenarbeit mit den anderen Staaten nach der Verordnung (EU) 2024/1358 bei</w:t>
      </w:r>
    </w:p>
    <w:p>
      <w:pPr>
        <w:ind w:left="420"/>
      </w:pPr>
      <w:r>
        <w:t xml:space="preserve">1. der endgültigen Identifizierung,</w:t>
      </w:r>
    </w:p>
    <w:p>
      <w:pPr>
        <w:ind w:left="420"/>
      </w:pPr>
      <w:r>
        <w:t xml:space="preserve">2. der Auskunft über die an Eurodac übermittelten und in der zentralen Datenbank gespeicherten Daten sowie deren Berichtigung, Löschung und Sperrung,</w:t>
      </w:r>
    </w:p>
    <w:p>
      <w:pPr>
        <w:ind w:left="420"/>
      </w:pPr>
      <w:r>
        <w:t xml:space="preserve">3. der Konsultation mit den Mitgliedstaaten, ob die nach der Überprüfung gemäß der Verordnung (EU) 2024/1356 oder nach einer Prüfung nach Artikel 16 Absatz 4 der Verordnung (EU) 2024/1351 oder nach Artikel 9 Absatz 5 der Verordnung (EU) 2024/1348 festgestellte Gefahr für die innere Sicherheit nicht mehr besteht,</w:t>
      </w:r>
    </w:p>
    <w:p>
      <w:pPr>
        <w:ind w:left="420"/>
      </w:pPr>
      <w:r>
        <w:t xml:space="preserve">4. der Einholung der Zustimmung des Herkunftsmitgliedstaats zur Übermittlung von Daten an einen Drittstaat zum Zweck der Rückführung gemäß Artikel 50 der Verordnung (EU) 2024/1358.</w:t>
      </w:r>
    </w:p>
    <w:p>
      <w:r>
        <w:t xml:space="preserve">(3) Das Bundesamt für Migration und Flüchtlinge ist weiter zuständig für die Ausführung der Verordnung (EU) 2024/1358 in Bezug auf die</w:t>
      </w:r>
    </w:p>
    <w:p>
      <w:pPr>
        <w:ind w:left="420"/>
      </w:pPr>
      <w:r>
        <w:t xml:space="preserve">1. vorzeitige Löschung von Daten gemäß Artikel 30 der Verordnung (EU) 2024/1358, sofern dies über die von eu-LISA bereitgestellte grafische Benutzeroberfläche erfolgt,</w:t>
      </w:r>
    </w:p>
    <w:p>
      <w:pPr>
        <w:ind w:left="420"/>
      </w:pPr>
      <w:r>
        <w:t xml:space="preserve">2. Bearbeitung von Anträgen nach Artikel 43 der Verordnung (EU) 2024/1358,</w:t>
      </w:r>
    </w:p>
    <w:p>
      <w:pPr>
        <w:ind w:left="420"/>
      </w:pPr>
      <w:r>
        <w:t xml:space="preserve">3. Speicherung und Löschung der Tatsache, dass die Person als Ergebnis einer Prüfung nach Artikel 16 Absatz 4 der Verordnung (EU) 2024/1351 eine Gefahr für die innere Sicherheit darstellen könnte, wenn einer der in Artikel 17 Absatz 2 Buchstabe i der Verordnung (EU) 2024/1358 genannten Umstände vorliegt,</w:t>
      </w:r>
    </w:p>
    <w:p>
      <w:pPr>
        <w:ind w:left="420"/>
      </w:pPr>
      <w:r>
        <w:t xml:space="preserve">4. Markierung von Datensätzen gemäß Artikel 31 Absatz 1 und 6 der Verordnung (EU) 2024/1358 sowie die Entfernung der Markierung gemäß Artikel 31 Absatz 3 der Verordnung (EU) 2024/1358,</w:t>
      </w:r>
    </w:p>
    <w:p>
      <w:pPr>
        <w:ind w:left="420"/>
      </w:pPr>
      <w:r>
        <w:t xml:space="preserve">5. Berichtigung, Aktualisierung und Löschung der an Eurodac übermittelten Daten, sofern dies über die von eu-LISA bereitgestellte grafische Benutzeroberfläche erfolgt,</w:t>
      </w:r>
    </w:p>
    <w:p>
      <w:pPr>
        <w:ind w:left="420"/>
      </w:pPr>
      <w:r>
        <w:t xml:space="preserve">6. Aktualisierung von Datensätzen aufgrund von Mitteilungen durch Eurodac, insbesondere nach Artikel 31 Absatz 1 und 4 der Verordnung (EU) 2024/1358, sofern dies über die von eu-LISA bereitgestellte grafische Benutzeroberfläche erfolgt.</w:t>
      </w:r>
    </w:p>
    <w:p>
      <w:r>
        <w:rPr>
          <w:color w:val="555555"/>
          <w:sz w:val="17"/>
        </w:rPr>
        <w:t xml:space="preserve">Zitiervorschlag: § 2 AsylZBV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https://recht.nulegal.eu/gesetze/AsylZBV%202026/2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