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AsylVfGNG — Inkrafttreten</w:t>
      </w:r>
    </w:p>
    <w:p>
      <w:r>
        <w:rPr>
          <w:color w:val="555555"/>
          <w:sz w:val="18"/>
        </w:rPr>
        <w:t xml:space="preserve">Gesetz zur Neuregelung des Asylverfahrens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Juli 1992 in Kraft.</w:t>
      </w:r>
    </w:p>
    <w:p>
      <w:r>
        <w:rPr>
          <w:color w:val="555555"/>
          <w:sz w:val="17"/>
        </w:rPr>
        <w:t xml:space="preserve">Zitiervorschlag: Art 7 AsylVfGNG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https://recht.nulegal.eu/gesetze/AsylVfGNG/7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