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AsylVfGNG — Übergangsregelungen</w:t>
      </w:r>
    </w:p>
    <w:p>
      <w:r>
        <w:rPr>
          <w:color w:val="555555"/>
          <w:sz w:val="18"/>
        </w:rPr>
        <w:t xml:space="preserve">Gesetz zur Neuregelung des Asylverfahrens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A.</w:t>
      </w:r>
    </w:p>
    <w:p>
      <w:pPr>
        <w:ind w:left="420"/>
      </w:pPr>
      <w:r>
        <w:t xml:space="preserve">B. Übergangsvorschrift zu A.:Bei Ausländern, die in der Zeit vom 1. Juli 1992 bis zum 31. März 1993 einen Asylantrag gestellt haben, richtet sich die Verteilung auf die Länder nach A. Nummer 14.</w:t>
      </w:r>
    </w:p>
    <w:p>
      <w:r>
        <w:rPr>
          <w:color w:val="555555"/>
          <w:sz w:val="17"/>
        </w:rPr>
        <w:t xml:space="preserve">Zitiervorschlag: Art 5 AsylVfGNG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https://recht.nulegal.eu/gesetze/AsylVfGNG/5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