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AsylVfGNG — Verweisung auf aufgehobene Vorschriften</w:t>
      </w:r>
    </w:p>
    <w:p>
      <w:r>
        <w:rPr>
          <w:color w:val="555555"/>
          <w:sz w:val="18"/>
        </w:rPr>
        <w:t xml:space="preserve">Gesetz zur Neuregelung des Asylverfahrens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in Gesetzen und Verordnungen auf Vorschriften verwiesen wird, die durch dieses Gesetz außer Kraft treten oder aufgehoben werden, treten an ihre Stelle die entsprechenden Vorschriften dieses Gesetzes.</w:t>
      </w:r>
    </w:p>
    <w:p>
      <w:r>
        <w:rPr>
          <w:color w:val="555555"/>
          <w:sz w:val="17"/>
        </w:rPr>
        <w:t xml:space="preserve">Zitiervorschlag: Art 4 AsylVfGNG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https://recht.nulegal.eu/gesetze/AsylVfGNG/4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