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87d AsylVfG 1992 — Übergangsvorschrift aus Anlass der am 23. Dezember 2023 in Kraft getretenen Änderung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23.12.2023 (konsolidierte Textfassung, kein amtliches Inkrafttretensdatum)</w:t>
      </w:r>
    </w:p>
    <w:p>
      <w:r>
        <w:t xml:space="preserve">§ 61 Absatz 2 Satz 4 findet keine Anwendung auf Staatsangehörige Georgiens und der Republik Moldau, die bis zum 30. August 2023 einen Asylantrag gestellt haben.</w:t>
      </w:r>
    </w:p>
    <w:p>
      <w:r>
        <w:rPr>
          <w:color w:val="555555"/>
          <w:sz w:val="17"/>
        </w:rPr>
        <w:t xml:space="preserve">Zitiervorschlag: § 87d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https://recht.nulegal.eu/gesetze/AsylVfG%201992/87d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87d AsylVfG 1992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