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AsylVfG 1992 — Bußgeldvorschriften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25 Absatz 5 Satz 1 Nummer 2 eine dort genannte Tonaufzeichnung oder einen dort genannten Ausschnitt veröffentlicht oder zugänglich macht oder</w:t>
      </w:r>
    </w:p>
    <w:p>
      <w:pPr>
        <w:ind w:left="420"/>
      </w:pPr>
      <w:r>
        <w:t xml:space="preserve">2. als Ausländer einer Aufenthaltsbeschränkung nach § 56 oder § 59b Absatz 1 zuwiderhandelt.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86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