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84a AsylVfG 1992 — Gewerbs- und bandenmäßige Verleitung zur missbräuchlichen Asylantragstellung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(1) Mit Freiheitsstrafe von einem Jahr bis zu zehn Jahren wird bestraft, wer in den Fällen des § 84 Absatz 1 als Mitglied einer Bande, die sich zur fortgesetzten Begehung solcher Taten verbunden hat, gewerbsmäßig handelt.</w:t>
      </w:r>
    </w:p>
    <w:p>
      <w:r>
        <w:t xml:space="preserve">(2) In minder schweren Fällen ist die Strafe Freiheitsstrafe von sechs Monaten bis zu fünf Jahren.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84a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https://recht.nulegal.eu/gesetze/AsylVfG%201992/84a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