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AsylVfG 1992 — Nichtbetreiben des Verfahrens</w:t>
      </w:r>
    </w:p>
    <w:p>
      <w:r>
        <w:rPr>
          <w:color w:val="555555"/>
          <w:sz w:val="18"/>
        </w:rPr>
        <w:t xml:space="preserve">Asylgesetz</w:t>
      </w:r>
    </w:p>
    <w:p>
      <w:r>
        <w:rPr>
          <w:color w:val="555555"/>
          <w:sz w:val="18"/>
        </w:rPr>
        <w:t xml:space="preserve">Stand: 10.06.2019 (konsolidierte Textfassung, kein amtliches Inkrafttretensdatum)</w:t>
      </w:r>
    </w:p>
    <w:p>
      <w:r>
        <w:t xml:space="preserve">Die Klage gilt in einem gerichtlichen Verfahren nach diesem Gesetz als zurückgenommen, wenn der Kläger das Verfahren trotz Aufforderung des Gerichts länger als einen Monat nicht betreibt. Der Kläger trägt die Kosten des Verfahrens. In der Aufforderung ist der Kläger auf die nach Satz 1 und 2 eintretenden Folgen hinzuweisen.</w:t>
      </w:r>
    </w:p>
    <w:p>
      <w:r>
        <w:rPr>
          <w:color w:val="555555"/>
          <w:sz w:val="17"/>
        </w:rPr>
        <w:t xml:space="preserve">Zitiervorschlag: § 81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https://recht.nulegal.eu/gesetze/AsylVfG%201992/81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