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80a AsylVfG 1992 — Ruhen des Verfahrens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Für das Klageverfahren gilt § 32a Absatz 1 entsprechend. Das Ruhen hat auf den Lauf von Fristen für die Einlegung oder Begründung von Rechtsbehelfen keinen Einfluss.</w:t>
      </w:r>
    </w:p>
    <w:p>
      <w:r>
        <w:t xml:space="preserve">(2) Die Klage gilt als zurückgenommen, wenn der Kläger nicht innerhalb eines Monats nach Ablauf der Geltungsdauer der Aufenthaltserlaubnis nach § 24 des Aufenthaltsgesetzes dem Gericht anzeigt, dass er das Klageverfahren fortführen will.</w:t>
      </w:r>
    </w:p>
    <w:p>
      <w:r>
        <w:t xml:space="preserve">(3) Das Bundesamt unterrichtet das Gericht unverzüglich über die Erteilung und den Ablauf der Geltungsdauer der Aufenthaltserlaubnis nach § 24 des Aufenthaltsgesetzes.</w:t>
      </w:r>
    </w:p>
    <w:p>
      <w:r>
        <w:rPr>
          <w:color w:val="555555"/>
          <w:sz w:val="17"/>
        </w:rPr>
        <w:t xml:space="preserve">Zitiervorschlag: § 80a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https://recht.nulegal.eu/gesetze/AsylVfG%201992/80a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