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AsylVfG 1992 — Ausschluss der Beschwerde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27.02.2024 (konsolidierte Textfassung, kein amtliches Inkrafttretensdatum)</w:t>
      </w:r>
    </w:p>
    <w:p>
      <w:r>
        <w:t xml:space="preserve">Entscheidungen in Rechtsstreitigkeiten nach diesem Gesetz und über Maßnahmen zum Vollzug der Abschiebungsandrohung (§ 34) oder der Abschiebungsanordnung (§ 34a) nach dem Aufenthaltsgesetz können vorbehaltlich des § 133 Absatz 1 der Verwaltungsgerichtsordnung nicht mit der Beschwerde angefochten werden.</w:t>
      </w:r>
    </w:p>
    <w:p>
      <w:r>
        <w:rPr>
          <w:color w:val="555555"/>
          <w:sz w:val="17"/>
        </w:rPr>
        <w:t xml:space="preserve">Zitiervorschlag: § 80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