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AsylVfG 1992 — Erlöschen der Aufenthaltsgestattung</w:t>
      </w:r>
    </w:p>
    <w:p>
      <w:r>
        <w:rPr>
          <w:color w:val="555555"/>
          <w:sz w:val="18"/>
        </w:rPr>
        <w:t xml:space="preserve">Asylgesetz</w:t>
      </w:r>
    </w:p>
    <w:p>
      <w:r>
        <w:rPr>
          <w:color w:val="555555"/>
          <w:sz w:val="18"/>
        </w:rPr>
        <w:t xml:space="preserve">Stand: 12.06.2026 (konsolidierte Textfassung, kein amtliches Inkrafttretensdatum)</w:t>
      </w:r>
    </w:p>
    <w:p>
      <w:r>
        <w:t xml:space="preserve">(1) Die Aufenthaltsgestattung erlischt, wenn ein Recht auf Verbleib nach der Verordnung (EU) 2024/1348 nicht besteht oder nicht mehr besteht, insbesondere</w:t>
      </w:r>
    </w:p>
    <w:p>
      <w:pPr>
        <w:ind w:left="420"/>
      </w:pPr>
      <w:r>
        <w:t xml:space="preserve">1. wenn der Ausländer nach § 18 Absatz 2 und 3 zurückgewiesen oder zurückgeschoben wird,</w:t>
      </w:r>
    </w:p>
    <w:p>
      <w:pPr>
        <w:ind w:left="420"/>
      </w:pPr>
      <w:r>
        <w:t xml:space="preserve">2. mit Ablauf der Frist nach § 20 Absatz 1 Satz 2, wenn der Ausländer der Verpflichtung nach § 20 Absatz 1 Satz 1 nicht nachgekommen ist,</w:t>
      </w:r>
    </w:p>
    <w:p>
      <w:pPr>
        <w:ind w:left="420"/>
      </w:pPr>
      <w:r>
        <w:t xml:space="preserve">3. wenn ein Fall von Artikel 68 Absatz 3 oder 7 der Verordnung (EU) 2024/1348 vorliegt,</w:t>
      </w:r>
    </w:p>
    <w:p>
      <w:pPr>
        <w:ind w:left="420"/>
      </w:pPr>
      <w:r>
        <w:t xml:space="preserve">4. im Falle der Erklärung der ausdrücklichen Rücknahme des Asylantrags nach Artikel 40 Absatz 3 der Verordnung (EU) 2024/1348 mit der Zustellung der Entscheidung des Bundesamtes,</w:t>
      </w:r>
    </w:p>
    <w:p>
      <w:pPr>
        <w:ind w:left="420"/>
      </w:pPr>
      <w:r>
        <w:t xml:space="preserve">5. wenn eine nach diesem Gesetz oder nach § 60 Absatz 9 des Aufenthaltsgesetzes erlassene Abschiebungsandrohung vollziehbar geworden ist,</w:t>
      </w:r>
    </w:p>
    <w:p>
      <w:pPr>
        <w:ind w:left="420"/>
      </w:pPr>
      <w:r>
        <w:t xml:space="preserve">6. mit der Vollziehbarkeit einer Abschiebungsanordnung nach § 34a,</w:t>
      </w:r>
    </w:p>
    <w:p>
      <w:pPr>
        <w:ind w:left="420"/>
      </w:pPr>
      <w:r>
        <w:t xml:space="preserve">7. mit der Bekanntgabe einer Abschiebungsanordnung nach § 58a des Aufenthaltsgesetzes,</w:t>
      </w:r>
    </w:p>
    <w:p>
      <w:pPr>
        <w:ind w:left="420"/>
      </w:pPr>
      <w:r>
        <w:t xml:space="preserve">8. im Übrigen, wenn die Entscheidung des Bundesamtes unanfechtbar geworden ist.</w:t>
      </w:r>
    </w:p>
    <w:p>
      <w:r>
        <w:t xml:space="preserve">(2) Die Aufenthaltsgestattung tritt wieder in Kraft, wenn ein Gericht in den Fällen des Artikels 68 Absatz 4 oder 7 der Verordnung (EU) 2024/1348 den Verbleib gestattet hat.</w:t>
      </w:r>
    </w:p>
    <w:p>
      <w:r>
        <w:rPr>
          <w:color w:val="555555"/>
          <w:sz w:val="17"/>
        </w:rPr>
        <w:t xml:space="preserve">Zitiervorschlag: § 67 AsylVfG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https://recht.nulegal.eu/gesetze/AsylVfG%201992/67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