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59b AsylVfG 1992 — Anordnung der räumlichen Beschränkung</w:t>
      </w:r>
    </w:p>
    <w:p>
      <w:r>
        <w:rPr>
          <w:color w:val="555555"/>
          <w:sz w:val="18"/>
        </w:rPr>
        <w:t xml:space="preserve">Asylgesetz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Eine räumliche Beschränkung der Aufenthaltsgestattung kann unabhängig von § 59a Absatz 1 durch die zuständige Ausländerbehörde angeordnet werden, wenn</w:t>
      </w:r>
    </w:p>
    <w:p>
      <w:pPr>
        <w:ind w:left="420"/>
      </w:pPr>
      <w:r>
        <w:t xml:space="preserve">1. der Ausländer wegen einer Straftat, mit Ausnahme solcher Straftaten, deren Tatbestand nur von Ausländern verwirklicht werden kann, rechtskräftig verurteilt worden ist,</w:t>
      </w:r>
    </w:p>
    <w:p>
      <w:pPr>
        <w:ind w:left="420"/>
      </w:pPr>
      <w:r>
        <w:t xml:space="preserve">2. Tatsachen die Schlussfolgerung rechtfertigen, dass der Ausländer gegen Vorschriften des Betäubungsmittelgesetzes verstoßen hat,</w:t>
      </w:r>
    </w:p>
    <w:p>
      <w:pPr>
        <w:ind w:left="420"/>
      </w:pPr>
      <w:r>
        <w:t xml:space="preserve">3. konkrete Maßnahmen zur Aufenthaltsbeendigung gegen den Ausländer bevorstehen oder</w:t>
      </w:r>
    </w:p>
    <w:p>
      <w:pPr>
        <w:ind w:left="420"/>
      </w:pPr>
      <w:r>
        <w:t xml:space="preserve">4. von dem Ausländer eine erhebliche Gefahr für die innere Sicherheit oder für Leib und Leben Dritter ausgeht.</w:t>
      </w:r>
    </w:p>
    <w:p>
      <w:r>
        <w:t xml:space="preserve">(2) Die §§ 56, 58, 59 und 59a Absatz 2 gelten entsprechend.</w:t>
      </w:r>
    </w:p>
    <w:p>
      <w:r>
        <w:rPr>
          <w:color w:val="555555"/>
          <w:sz w:val="17"/>
        </w:rPr>
        <w:t xml:space="preserve">Zitiervorschlag: § 59b AsylVfG 1992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https://recht.nulegal.eu/gesetze/AsylVfG%201992/59b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