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AsylVfG 1992 — Räumliche Beschränkung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Aufenthaltsgestattung ist räumlich auf den Bezirk der Ausländerbehörde beschränkt, in dem die für die Aufnahme des Ausländers zuständige Aufnahmeeinrichtung liegt.</w:t>
      </w:r>
    </w:p>
    <w:p>
      <w:r>
        <w:t xml:space="preserve">(2) Wenn der Ausländer verpflichtet ist, in dem Bezirk einer anderen Ausländerbehörde Aufenthalt zu nehmen, ist die Aufenthaltsgestattung räumlich auf deren Bezirk beschränkt.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56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