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AsylVfG 1992 — Quotenanrechnung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Auf die Quoten nach § 45 wird die Aufnahme von Ausländern in den Fällen des § 14 Absatz 2 Satz 1 Nummer 2 und 3 sowie des § 51 angerechnet.</w:t>
      </w:r>
    </w:p>
    <w:p>
      <w:r>
        <w:rPr>
          <w:color w:val="555555"/>
          <w:sz w:val="17"/>
        </w:rPr>
        <w:t xml:space="preserve">Zitiervorschlag: § 52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