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AsylVfG 1992 — Länderübergreifende Verteilung</w:t>
      </w:r>
    </w:p>
    <w:p>
      <w:r>
        <w:rPr>
          <w:color w:val="555555"/>
          <w:sz w:val="18"/>
        </w:rPr>
        <w:t xml:space="preserve">Asylgesetz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ein Ausländer nicht oder nicht mehr verpflichtet, in einer Aufnahmeeinrichtung zu wohnen, ist der Haushaltsgemeinschaft von Familienangehörigen im Sinne des § 26 Absatz 1 bis 3 oder sonstigen humanitären Gründen von vergleichbarem Gewicht auch durch länderübergreifende Verteilung Rechnung zu tragen.</w:t>
      </w:r>
    </w:p>
    <w:p>
      <w:r>
        <w:t xml:space="preserve">(2) Die Verteilung nach Absatz 1 erfolgt auf Antrag des Ausländers. Über den Antrag entscheidet die zuständige Behörde des Landes, für das der weitere Aufenthalt beantragt ist.</w:t>
      </w:r>
    </w:p>
    <w:p>
      <w:r>
        <w:rPr>
          <w:color w:val="555555"/>
          <w:sz w:val="17"/>
        </w:rPr>
        <w:t xml:space="preserve">Zitiervorschlag: § 51 AsylVfG 1992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https://recht.nulegal.eu/gesetze/AsylVfG%201992/51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