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AsylVfG 1992 — Landesinterne Verteilung</w:t>
      </w:r>
    </w:p>
    <w:p>
      <w:r>
        <w:rPr>
          <w:color w:val="555555"/>
          <w:sz w:val="18"/>
        </w:rPr>
        <w:t xml:space="preserve">Asylgesetz</w:t>
      </w:r>
    </w:p>
    <w:p>
      <w:r>
        <w:rPr>
          <w:color w:val="555555"/>
          <w:sz w:val="18"/>
        </w:rPr>
        <w:t xml:space="preserve">Stand: 12.06.2026 (konsolidierte Textfassung, kein amtliches Inkrafttretensdatum)</w:t>
      </w:r>
    </w:p>
    <w:p>
      <w:r>
        <w:t xml:space="preserve">(1) Ausländer sind unverzüglich aus der Aufnahmeeinrichtung zu entlassen und innerhalb des Landes zu verteilen, wenn das Bundesamt der zuständigen Landesbehörde mitteilt, dass</w:t>
      </w:r>
    </w:p>
    <w:p>
      <w:pPr>
        <w:ind w:left="420"/>
      </w:pPr>
      <w:r>
        <w:t xml:space="preserve">1. der Ausländer als Asylberechtigter anerkannt oder ihm internationaler Schutz zuerkannt wurde oder die Voraussetzungen des § 60 Absatz 5 oder 7 des Aufenthaltsgesetzes in der Person des Ausländers oder eines seiner Familienangehörigen im Sinne des Artikels 3 Nummer 9 der Verordnung (EU) 2024/1347 festgestellt wurden oder</w:t>
      </w:r>
    </w:p>
    <w:p>
      <w:pPr>
        <w:ind w:left="420"/>
      </w:pPr>
      <w:r>
        <w:t xml:space="preserve">2. das Verwaltungsgericht die aufschiebende Wirkung der Klage gegen die Entscheidung des Bundesamtes angeordnet hat, es sei denn, es wurde eine Überstellungsentscheidung nach Artikel 42 Absatz 1 der Verordnung (EU) 2024/1351 getroffen oder der Asylantrag wurde als unzulässig nach § 29 Nummer 2 abgelehnt.</w:t>
      </w:r>
    </w:p>
    <w:p>
      <w:r>
        <w:t xml:space="preserve">Eine Verteilung kann auch erfolgen, wenn der Ausländer aus anderen Gründen nicht mehr verpflichtet ist, in der Aufnahmeeinrichtung zu wohnen.</w:t>
      </w:r>
    </w:p>
    <w:p>
      <w:r>
        <w:t xml:space="preserve">(2) Die Landesregierung oder die von ihr bestimmte Stelle wird ermächtigt, durch Rechtsverordnung die Verteilung zu regeln, soweit dies nicht durch Landesgesetz geregelt ist.</w:t>
      </w:r>
    </w:p>
    <w:p>
      <w:r>
        <w:t xml:space="preserve">(3) Die zuständige Landesbehörde teilt innerhalb eines Zeitraumes von drei Arbeitstagen dem Bundesamt den Bezirk der Ausländerbehörde mit, in dem der Ausländer nach einer Verteilung Wohnung zu nehmen hat.</w:t>
      </w:r>
    </w:p>
    <w:p>
      <w:r>
        <w:t xml:space="preserve">(4) Die zuständige Landesbehörde erlässt die Zuweisungsentscheidung. Die Zuweisungsentscheidung ist schriftlich zu erlassen und mit einer Rechtsbehelfsbelehrung zu versehen. Sie bedarf keiner Begründung. Einer Anhörung des Ausländers bedarf es nicht. Bei der Zuweisung sind die Haushaltsgemeinschaft von Familienangehörigen im Sinne des § 26 Absatz 1 bis 3 oder sonstige humanitäre Gründe von vergleichbarem Gewicht zu berücksichtigen.</w:t>
      </w:r>
    </w:p>
    <w:p>
      <w:r>
        <w:t xml:space="preserve">(5) Die Zuweisungsentscheidung ist dem Ausländer selbst zuzustellen. Wird der Ausländer durch einen Bevollmächtigten vertreten oder hat er einen Empfangsbevollmächtigten benannt, soll ein Abdruck der Zuweisungsentscheidung auch diesem zugeleitet werden.</w:t>
      </w:r>
    </w:p>
    <w:p>
      <w:r>
        <w:t xml:space="preserve">(6) Der Ausländer hat sich unverzüglich zu der in der Zuweisungsverfügung angegebenen Stelle zu begeben.</w:t>
      </w:r>
    </w:p>
    <w:p>
      <w:r>
        <w:rPr>
          <w:color w:val="555555"/>
          <w:sz w:val="17"/>
        </w:rPr>
        <w:t xml:space="preserve">Zitiervorschlag: § 50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https://recht.nulegal.eu/gesetze/AsylVfG%201992/50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