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AsylVfG 1992 — Bundesamt</w:t>
      </w:r>
    </w:p>
    <w:p>
      <w:r>
        <w:rPr>
          <w:color w:val="555555"/>
          <w:sz w:val="18"/>
        </w:rPr>
        <w:t xml:space="preserve">Asylgesetz</w:t>
      </w:r>
    </w:p>
    <w:p>
      <w:r>
        <w:rPr>
          <w:color w:val="555555"/>
          <w:sz w:val="18"/>
        </w:rPr>
        <w:t xml:space="preserve">Stand: 12.06.2026 (konsolidierte Textfassung, kein amtliches Inkrafttretensdatum)</w:t>
      </w:r>
    </w:p>
    <w:p>
      <w:r>
        <w:t xml:space="preserve">(1) Das Bundesamt für Migration und Flüchtlinge (Bundesamt) ist Asylbehörde im Sinne des Artikels 4 Absatz 1 der Verordnung (EU) 2024/1348 und nimmt Asylanträge entgegen, prüft diese und erlässt Entscheidungen über den Asylantrag; dies umfasst Entscheidungen über Überstellungen nach Artikel 42 Absatz 1 und Artikel 67 Absatz 10 der Verordnung (EU) 2024/1351. Das Bundesamt stellt zudem fest, ob der Ausländer nach Artikel 20 der Verordnung (EU) 2024/1348 besondere Verfahrensgarantien benötigt. Das Bundesamt entscheidet auch über den Entzug der Anerkennung als Asylberechtigter oder der Zuerkennung des internationalen Schutzes. Es ist nach Maßgabe dieses Gesetzes auch für ausländerrechtliche Maßnahmen und Entscheidungen zuständig.</w:t>
      </w:r>
    </w:p>
    <w:p>
      <w:r>
        <w:t xml:space="preserve">(2) Das Bundesministerium des Innern bestellt den Präsidenten des Bundesamtes. Dieser sorgt für die ordnungsgemäße Organisation der Asylverfahren.</w:t>
      </w:r>
    </w:p>
    <w:p>
      <w:r>
        <w:t xml:space="preserve">(3) Der Präsident des Bundesamtes soll bei jeder Zentralen Aufnahmeeinrichtung für Asylbewerber (Aufnahmeeinrichtung) mit mindestens 1 000 dauerhaften Unterbringungsplätzen in Abstimmung mit dem Land eine Außenstelle einrichten. Er kann in Abstimmung mit den Ländern weitere Außenstellen einrichten.</w:t>
      </w:r>
    </w:p>
    <w:p>
      <w:r>
        <w:t xml:space="preserve">(4) Der Präsident des Bundesamtes kann mit den Ländern vereinbaren, ihm sachliche und personelle Mittel zur notwendigen Erfüllung seiner Aufgaben in den Außenstellen zur Verfügung zu stellen. Die ihm zur Verfügung gestellten Bediensteten unterliegen im gleichen Umfang seinen fachlichen Weisungen wie die Bediensteten des Bundesamtes. Die näheren Einzelheiten sind in einer Verwaltungsvereinbarung zwischen dem Bund und dem Land zu regeln.</w:t>
      </w:r>
    </w:p>
    <w:p>
      <w:r>
        <w:t xml:space="preserve">(5) Der Präsident des Bundesamtes kann mit den Ländern vereinbaren, dass in einer Aufnahmeeinrichtung Ausländer untergebracht werden, deren Verfahren beschleunigt nach Artikel 42 der Verordnung (EU) 2024/1348 bearbeitet werden sollen (besondere Aufnahmeeinrichtungen). Das Bundesamt richtet Außenstellen bei den besonderen Aufnahmeeinrichtungen nach Satz 1 ein oder ordnet sie diesen zu. Auf besondere Aufnahmeeinrichtungen finden die für Aufnahmeeinrichtungen geltenden Regelungen Anwendung, soweit nicht in diesem Gesetz oder einer anderen Rechtsvorschrift etwas anderes bestimmt wird.</w:t>
      </w:r>
    </w:p>
    <w:p>
      <w:r>
        <w:t xml:space="preserve">(6) Für Personen, die für das Bundesamt tätig werden sollen, ist eine einfache Sicherheitsüberprüfung nach dem Sicherheitsüberprüfungsgesetz durchzuführen. Von einer Sicherheitsüberprüfung kann abgesehen werden, wenn Art oder Dauer der Tätigkeit dies zulassen.</w:t>
      </w:r>
    </w:p>
    <w:p>
      <w:r>
        <w:rPr>
          <w:color w:val="555555"/>
          <w:sz w:val="17"/>
        </w:rPr>
        <w:t xml:space="preserve">Zitiervorschlag: § 5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https://recht.nulegal.eu/gesetze/AsylVfG%201992/5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