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AsylVfG 1992 — Entlassung aus der Aufnahmeeinrichtung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Die Verpflichtung, in der Aufnahmeeinrichtung zu wohnen, ist zu beenden, wenn eine Abschiebungsandrohung vollziehbar und die Abschiebung nicht in angemessener Zeit möglich ist oder wenn dem Ausländer eine Aufenthaltserlaubnis nach § 24 des Aufenthaltsgesetzes erteilt werden soll.</w:t>
      </w:r>
    </w:p>
    <w:p>
      <w:r>
        <w:t xml:space="preserve">(2) Eine Entlassung aus der Aufnahmeeinrichtung vor Ablauf der in § 47 Absatz 1 festgelegten Höchstfrist erfolgt in der Regel nicht, bevor die Anhörung nach § 25 durchgeführt wurde. Die Verpflichtung kann aus Gründen der öffentlichen Gesundheitsvorsorge sowie aus sonstigen Gründen der öffentlichen Sicherheit oder Ordnung, insbesondere zur Gewährleistung der Unterbringung und Verteilung, beendet werden; bei Vorliegen anderer zwingender Gründe ist sie unverzüglich zu beenden.</w:t>
      </w:r>
    </w:p>
    <w:p>
      <w:r>
        <w:rPr>
          <w:color w:val="555555"/>
          <w:sz w:val="17"/>
        </w:rPr>
        <w:t xml:space="preserve">Zitiervorschlag: § 49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