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48 AsylVfG 1992 — Beendigung der Verpflichtung, in einer Aufnahmeeinrichtung zu wohnen</w:t>
      </w:r>
    </w:p>
    <w:p>
      <w:r>
        <w:rPr>
          <w:color w:val="555555"/>
          <w:sz w:val="18"/>
        </w:rPr>
        <w:t xml:space="preserve">Asylgesetz</w:t>
      </w:r>
    </w:p>
    <w:p>
      <w:r>
        <w:rPr>
          <w:color w:val="555555"/>
          <w:sz w:val="18"/>
        </w:rPr>
        <w:t xml:space="preserve">Stand: 22.08.2019 (konsolidierte Textfassung, kein amtliches Inkrafttretensdatum)</w:t>
      </w:r>
    </w:p>
    <w:p>
      <w:r>
        <w:t xml:space="preserve">Die Verpflichtung, in einer Aufnahmeeinrichtung zu wohnen, endet vor Ablauf des nach § 47 Absatz 1 Satz 1 bestimmten Zeitraums, wenn der Ausländer</w:t>
      </w:r>
    </w:p>
    <w:p>
      <w:pPr>
        <w:ind w:left="420"/>
      </w:pPr>
      <w:r>
        <w:t xml:space="preserve">1. verpflichtet ist, an einem anderen Ort oder in einer anderen Unterkunft Wohnung zu nehmen,</w:t>
      </w:r>
    </w:p>
    <w:p>
      <w:pPr>
        <w:ind w:left="420"/>
      </w:pPr>
      <w:r>
        <w:t xml:space="preserve">2. als Asylberechtigter anerkannt ist oder ihm internationaler Schutz im Sinne des § 1 Absatz 1 Nummer 2 zuerkannt wurde oder</w:t>
      </w:r>
    </w:p>
    <w:p>
      <w:pPr>
        <w:ind w:left="420"/>
      </w:pPr>
      <w:r>
        <w:t xml:space="preserve">3. nach der Antragstellung durch Eheschließung oder Begründung einer Lebenspartnerschaft im Bundesgebiet die Voraussetzungen für einen Rechtsanspruch auf Erteilung eines Aufenthaltstitels nach dem Aufenthaltsgesetz erfüllt.</w:t>
      </w:r>
    </w:p>
    <w:p>
      <w:r>
        <w:rPr>
          <w:color w:val="555555"/>
          <w:sz w:val="17"/>
        </w:rPr>
        <w:t xml:space="preserve">Zitiervorschlag: § 48 AsylVfG 1992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https://recht.nulegal.eu/gesetze/AsylVfG%201992/48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