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AsylVfG 1992 — Aufenthalt in Aufnahmeeinrichtungen</w:t>
      </w:r>
    </w:p>
    <w:p>
      <w:r>
        <w:rPr>
          <w:color w:val="555555"/>
          <w:sz w:val="18"/>
        </w:rPr>
        <w:t xml:space="preserve">Asylgesetz</w:t>
      </w:r>
    </w:p>
    <w:p>
      <w:r>
        <w:rPr>
          <w:color w:val="555555"/>
          <w:sz w:val="18"/>
        </w:rPr>
        <w:t xml:space="preserve">Stand: 29.07.2026 (konsolidierte Textfassung, kein amtliches Inkrafttretensdatum)</w:t>
      </w:r>
    </w:p>
    <w:p>
      <w:r>
        <w:t xml:space="preserve">(1) Ausländer, die nach § 14 Absatz 1 den Asylantrag bei einer Außenstelle des Bundesamtes einreichen müssen, sind verpflichtet, bis zur Entscheidung des Bundesamtes über den Asylantrag und im Falle der Ablehnung des Asylantrags bis zur Ausreise oder bis zum Vollzug der Abschiebungsandrohung oder -anordnung, längstens jedoch bis zu 18 Monate, bei minderjährigen Kindern und ihren Eltern oder anderen Sorgeberechtigten sowie ihren volljährigen, ledigen Geschwistern längstens jedoch bis zu sechs Monate, in der für ihre Aufnahme zuständigen Aufnahmeeinrichtung zu wohnen. Das Gleiche gilt in den Fällen des § 14 Absatz 2 Satz 1 Nummer 2, wenn die Voraussetzungen dieser Vorschrift vor der Entscheidung des Bundesamtes entfallen. Abweichend von Satz 1 ist der Ausländer verpflichtet, über 18 Monate hinaus in einer Aufnahmeeinrichtung zu wohnen, wenn er</w:t>
      </w:r>
    </w:p>
    <w:p>
      <w:pPr>
        <w:ind w:left="420"/>
      </w:pPr>
      <w:r>
        <w:t xml:space="preserve">1. seine Mitwirkungspflichten nach § 15 Absatz 2 Nummer 4 bis 7 ohne genügende Entschuldigung verletzt oder die unverschuldet unterbliebene Mitwirkungshandlung nicht unverzüglich nachgeholt hat,</w:t>
      </w:r>
    </w:p>
    <w:p>
      <w:pPr>
        <w:ind w:left="420"/>
      </w:pPr>
      <w:r>
        <w:t xml:space="preserve">2. wiederholt seine Mitwirkungspflicht nach § 15 Absatz 2 Nummer 1 und 3 ohne genügende Entschuldigung verletzt oder die unverschuldet unterbliebene Mitwirkungshandlung nicht unverzüglich nachgeholt hat,</w:t>
      </w:r>
    </w:p>
    <w:p>
      <w:pPr>
        <w:ind w:left="420"/>
      </w:pPr>
      <w:r>
        <w:t xml:space="preserve">3. vollziehbar ausreisepflichtig ist und gegenüber einer für den Vollzug des Aufenthaltsgesetzes zuständigen Behörde fortgesetzt über seine Identität oder Staatsangehörigkeit täuscht oder fortgesetzt falsche Angaben macht oder</w:t>
      </w:r>
    </w:p>
    <w:p>
      <w:pPr>
        <w:ind w:left="420"/>
      </w:pPr>
      <w:r>
        <w:t xml:space="preserve">4. vollziehbar ausreisepflichtig ist und fortgesetzt zumutbare Anforderungen an die Mitwirkung bei der Beseitigung von Ausreisehindernissen, insbesondere hinsichtlich der Identifizierung, der Vorlage eines Reisedokuments oder der Passersatzbeschaffung, nicht erfüllt.</w:t>
      </w:r>
    </w:p>
    <w:p>
      <w:r>
        <w:t xml:space="preserve">Satz 3 findet keine Anwendung bei minderjährigen Kindern und ihren Eltern oder anderen Sorgeberechtigten sowie ihren volljährigen, ledigen Geschwistern. Die §§ 48 bis 50 bleiben unberührt.</w:t>
      </w:r>
    </w:p>
    <w:p>
      <w:r>
        <w:t xml:space="preserve">(1a) Abweichend von Absatz 1 sind Ausländer aus einem sicheren Herkunftsstaat nach den §§ 29a oder 29b oder nach Artikel 62 Absatz 1 bis 1b der Verordnung (EU) 2024/1348 verpflichtet, bis zur Entscheidung des Bundesamtes über den Asylantrag und im Falle der Ablehnung des Asylantrags als offensichtlich unbegründet oder im Falle einer Überstellungsentscheidung nach Artikel 42 Absatz 1 der Verordnung (EU) 2024/1351 bis zur Ausreise oder bis zum Vollzug der Abschiebungsandrohung oder -anordnung in der für ihre Aufnahme zuständigen Aufnahmeeinrichtung zu wohnen. Satz 1 gilt nicht bei minderjährigen Kindern und ihren Eltern oder anderen Sorgeberechtigten sowie ihren volljährigen, ledigen Geschwistern. Die §§ 48 bis 50 bleiben unberührt.</w:t>
      </w:r>
    </w:p>
    <w:p>
      <w:r>
        <w:t xml:space="preserve">(1b) Abweichend von Absatz 1 sind Ausländer, die in eine Aufnahmeeinrichtung zur Durchführung von Verfahren bei Sekundärmigration nach § 44 Absatz 1a verteilt worden sind, verpflichtet, während des Verfahrens nach der Verordnung (EU) 2024/1351 und in Fällen, in denen ein anderer Mitgliedstaat internationalen Schutz gewährt hat, bis zur Entscheidung des Bundesamtes über die Zulässigkeit des Asylantrags und im Falle der Ablehnung des Asylantrags als unzulässig nach § 29 Nummer 2 bis zur Ausreise oder bis zum Vollzug der Abschiebungsandrohung, längstens jedoch bis zu 24 Monate in der für ihre Aufnahme zuständigen Aufnahmeeinrichtung zu wohnen. Die Verpflichtung nach Satz 1, in der Aufnahmeeinrichtung zu wohnen, endet außer in den in Satz 1 genannten Fällen zudem, wenn das Bundesamt feststellt, dass die Bundesrepublik Deutschland für die Prüfung des Asylantrags zuständig ist. Die Pflicht, in einer Aufnahmeeinrichtung nach Absatz 1 zu wohnen, sowie die §§ 48 bis 50 bleiben unberührt. Der Zeitraum, in dem der Ausländer in der Aufnahmeeinrichtung nach Satz 1 gewohnt hat, wird auf die Dauer der Pflicht, in der Aufnahmeeinrichtung nach Absatz 1 zu wohnen, angerechnet.</w:t>
      </w:r>
    </w:p>
    <w:p>
      <w:r>
        <w:t xml:space="preserve">(1c) Abweichend von Absatz 1 sind minderjährige Kinder und ihre Eltern oder andere Sorgeberechtigte sowie ihre volljährigen, ledigen Geschwister, die in eine Aufnahmeeinrichtung zur Durchführung von Verfahren bei Sekundärmigration nach § 44 Absatz 1a verteilt worden sind, verpflichtet, während des Verfahrens nach der Verordnung (EU) 2024/1351 bis zur Überstellungsentscheidung nach Artikel 42 Absatz 1 der Verordnung (EU) 2024/1351 und in Fällen, in denen ein anderer Mitgliedstaat internationalen Schutz gewährt hat, bis zur Entscheidung des Bundesamtes über die Zulässigkeit des Antrags, längstens jedoch bis zu sechs Monate, in der für ihre Aufnahme zuständigen Aufnahmeeinrichtung zu wohnen. Erlässt das Bundesamt die Überstellungsentscheidung nach Artikel 42 Absatz 1 der Verordnung (EU) 2024/1351 oder lehnt es den Asylantrag als unzulässig nach § 29 Nummer 2 ab, besteht die Pflicht, in der Aufnahmeeinrichtung zu wohnen längstens bis zu sechs weitere Monate. Kann eine Überstellung aus den in Artikel 46 Absatz 2 Satz 2 der Verordnung (EU) 2024/1351 genannten Gründen nicht erfolgen, besteht die Pflicht nach Satz 2, in der Aufnahmeeinrichtung zu wohnen über sechs Monate hinaus. Die Pflicht nach den Sätzen 1 bis 3, in der Aufnahmeeinrichtung zu wohnen, beträgt insgesamt nicht länger als zwölf Monate. Absatz 1b Satz 2 bis 4 gelten entsprechend.</w:t>
      </w:r>
    </w:p>
    <w:p>
      <w:r>
        <w:t xml:space="preserve">(1d) Die Länder können regeln, dass Ausländer abweichend von Absatz 1 verpflichtet sind, bis zur Entscheidung des Bundesamtes über den Asylantrag und im Falle der Ablehnung des Asylantrags als offensichtlich unbegründet oder als unzulässig bis zur Ausreise oder bis zum Vollzug der Abschiebungsandrohung oder -anordnung in der für ihre Aufnahme zuständigen Aufnahmeeinrichtung, längstens jedoch für 24 Monate, zu wohnen. Die §§ 48 bis 50 bleiben unberührt.</w:t>
      </w:r>
    </w:p>
    <w:p>
      <w:r>
        <w:t xml:space="preserve">(2) Sind Eltern eines minderjährigen ledigen Kindes verpflichtet, in einer Aufnahmeeinrichtung zu wohnen, so kann auch das Kind in der Aufnahmeeinrichtung wohnen, auch wenn es keinen Asylantrag gestellt hat.</w:t>
      </w:r>
    </w:p>
    <w:p>
      <w:r>
        <w:t xml:space="preserve">(3) Für die Dauer der Pflicht, in einer Aufnahmeeinrichtung zu wohnen, ist der Ausländer verpflichtet, für die zuständigen Behörden und Gerichte erreichbar zu sein.</w:t>
      </w:r>
    </w:p>
    <w:p>
      <w:r>
        <w:t xml:space="preserve">(4) Die Aufnahmeeinrichtung weist den Ausländer innerhalb der Frist für die Registrierung des Asylantrags nach Artikel 27 der Verordnung (EU) 2024/1348 nach der Asylantragstellung möglichst schriftlich in transparenter, verständlicher und leicht zugänglicher Form, unter Verwendung einer klaren und einfachen Ausdrucksweise und in einer Sprache, deren Kenntnis vernünftigerweise vorausgesetzt werden kann, auf seine Rechte und Pflichten bei der Aufnahme hin. Erforderlichenfalls werden diese Informationen auch zunächst mündlich oder bildlich bereitgestellt und an die Bedürfnisse des Ausländers angepasst. Die Aufnahmeeinrichtung benennt in dem Hinweis nach Satz 1 auch, wer dem Ausländer Rechtsberatung und -vertretung gewähren kann, darunter auch Vereinigungen, die eine solche Rechtsberatung und -vertretung unentgeltlich erbringen, und welche Vereinigungen den Ausländer über seine Rechten und Pflichten bei der Aufnahme, einschließlich medizinischer Versorgung beraten können.</w:t>
      </w:r>
    </w:p>
    <w:p>
      <w:r>
        <w:rPr>
          <w:color w:val="555555"/>
          <w:sz w:val="17"/>
        </w:rPr>
        <w:t xml:space="preserve">Zitiervorschlag: § 47 AsylVfG 1992</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Dieses Dokument: https://recht.nulegal.eu/gesetze/AsylVfG%201992/47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