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42 AsylVfG 1992 — Bindungswirkung ausländerrechtlicher Entscheidungen</w:t>
      </w:r>
    </w:p>
    <w:p>
      <w:r>
        <w:rPr>
          <w:color w:val="555555"/>
          <w:sz w:val="18"/>
        </w:rPr>
        <w:t xml:space="preserve">Asylgesetz</w:t>
      </w:r>
    </w:p>
    <w:p>
      <w:r>
        <w:rPr>
          <w:color w:val="555555"/>
          <w:sz w:val="18"/>
        </w:rPr>
        <w:t xml:space="preserve">Stand: 12.06.2026 (konsolidierte Textfassung, kein amtliches Inkrafttretensdatum)</w:t>
      </w:r>
    </w:p>
    <w:p>
      <w:r>
        <w:t xml:space="preserve">Die Ausländerbehörde ist an die Entscheidung des Bundesamtes oder des Verwaltungsgerichts über das Vorliegen der Voraussetzungen des § 60 Absatz 5 oder 7 des Aufenthaltsgesetzes gebunden. Über den späteren Eintritt und Wegfall der Voraussetzungen des § 60 Absatz 4 des Aufenthaltsgesetzes entscheidet die Ausländerbehörde, ohne dass es einer Aufhebung der Entscheidung des Bundesamtes bedarf.</w:t>
      </w:r>
    </w:p>
    <w:p>
      <w:r>
        <w:rPr>
          <w:color w:val="555555"/>
          <w:sz w:val="17"/>
        </w:rPr>
        <w:t xml:space="preserve">Zitiervorschlag: § 42 AsylVfG 1992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https://recht.nulegal.eu/gesetze/AsylVfG%201992/42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