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3e AsylVfG 1992 — Interner Schutz</w:t>
      </w:r>
    </w:p>
    <w:p>
      <w:r>
        <w:rPr>
          <w:color w:val="555555"/>
          <w:sz w:val="18"/>
        </w:rPr>
        <w:t xml:space="preserve">Asylgesetz</w:t>
      </w:r>
    </w:p>
    <w:p>
      <w:r>
        <w:rPr>
          <w:color w:val="555555"/>
          <w:sz w:val="18"/>
        </w:rPr>
        <w:t xml:space="preserve">Außer Kraft: § 3e ist seit 12.06.2026 nicht mehr im AsylVfG 1992 enthalten. Angezeigt wird die letzte bekannte Fassung, Stand 10.06.2019.</w:t>
      </w:r>
    </w:p>
    <w:p>
      <w:r>
        <w:t xml:space="preserve">(1) Dem Ausländer wird die Flüchtlingseigenschaft nicht zuerkannt, wenn er</w:t>
      </w:r>
    </w:p>
    <w:p>
      <w:pPr>
        <w:ind w:left="420"/>
      </w:pPr>
      <w:r>
        <w:t xml:space="preserve">1. in einem Teil seines Herkunftslandes keine begründete Furcht vor Verfolgung oder Zugang zu Schutz vor Verfolgung nach § 3d hat und</w:t>
      </w:r>
    </w:p>
    <w:p>
      <w:pPr>
        <w:ind w:left="420"/>
      </w:pPr>
      <w:r>
        <w:t xml:space="preserve">2. sicher und legal in diesen Landesteil reisen kann, dort aufgenommen wird und vernünftigerweise erwartet werden kann, dass er sich dort niederlässt.</w:t>
      </w:r>
    </w:p>
    <w:p>
      <w:r>
        <w:t xml:space="preserve">(2) Bei der Prüfung der Frage, ob ein Teil des Herkunftslandes die Voraussetzungen nach Absatz 1 erfüllt, sind die dortigen allgemeinen Gegebenheiten und die persönlichen Umstände des Ausländers gemäß Artikel 4 der Richtlinie 2011/95/EU zum Zeitpunkt der Entscheidung über den Antrag zu berücksichtigen. Zu diesem Zweck sind genaue und aktuelle Informationen aus relevanten Quellen, wie etwa Informationen des Hohen Kommissars der Vereinten Nationen für Flüchtlinge oder des Europäischen Unterstützungsbüros für Asylfragen, einzuholen.</w:t>
      </w:r>
    </w:p>
    <w:p>
      <w:r>
        <w:rPr>
          <w:color w:val="555555"/>
          <w:sz w:val="17"/>
        </w:rPr>
        <w:t xml:space="preserve">Zitiervorschlag: § 3e AsylVfG 1992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https://recht.nulegal.eu/gesetze/AsylVfG%201992/3e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