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3d AsylVfG 1992 — Akteure, die Schutz bieten können</w:t>
      </w:r>
    </w:p>
    <w:p>
      <w:r>
        <w:rPr>
          <w:color w:val="555555"/>
          <w:sz w:val="18"/>
        </w:rPr>
        <w:t xml:space="preserve">Asylgesetz</w:t>
      </w:r>
    </w:p>
    <w:p>
      <w:r>
        <w:rPr>
          <w:color w:val="555555"/>
          <w:sz w:val="18"/>
        </w:rPr>
        <w:t xml:space="preserve">Außer Kraft: § 3d ist seit 12.06.2026 nicht mehr im AsylVfG 1992 enthalten. Angezeigt wird die letzte bekannte Fassung, Stand 10.06.2019.</w:t>
      </w:r>
    </w:p>
    <w:p>
      <w:r>
        <w:t xml:space="preserve">(1) Schutz vor Verfolgung kann nur geboten werden</w:t>
      </w:r>
    </w:p>
    <w:p>
      <w:pPr>
        <w:ind w:left="420"/>
      </w:pPr>
      <w:r>
        <w:t xml:space="preserve">1. vom Staat oder</w:t>
      </w:r>
    </w:p>
    <w:p>
      <w:pPr>
        <w:ind w:left="420"/>
      </w:pPr>
      <w:r>
        <w:t xml:space="preserve">2. von Parteien oder Organisationen einschließlich internationaler Organisationen, die den Staat oder einen wesentlichen Teil des Staatsgebiets beherrschen,</w:t>
      </w:r>
    </w:p>
    <w:p>
      <w:r>
        <w:t xml:space="preserve">sofern sie willens und in der Lage sind, Schutz gemäß Absatz 2 zu bieten.</w:t>
      </w:r>
    </w:p>
    <w:p>
      <w:r>
        <w:t xml:space="preserve">(2) Der Schutz vor Verfolgung muss wirksam und darf nicht nur vorübergehender Art sein. Generell ist ein solcher Schutz gewährleistet, wenn die in Absatz 1 genannten Akteure geeignete Schritte einleiten, um die Verfolgung zu verhindern, beispielsweise durch wirksame Rechtsvorschriften zur Ermittlung, Strafverfolgung und Ahndung von Handlungen, die eine Verfolgung darstellen, und wenn der Ausländer Zugang zu diesem Schutz hat.</w:t>
      </w:r>
    </w:p>
    <w:p>
      <w:r>
        <w:t xml:space="preserve">(3) Bei der Beurteilung der Frage, ob eine internationale Organisation einen Staat oder einen wesentlichen Teil seines Staatsgebiets beherrscht und den in Absatz 2 genannten Schutz bietet, sind etwaige in einschlägigen Rechtsakten der Europäischen Union aufgestellte Leitlinien heranzuziehen.</w:t>
      </w:r>
    </w:p>
    <w:p>
      <w:r>
        <w:rPr>
          <w:color w:val="555555"/>
          <w:sz w:val="17"/>
        </w:rPr>
        <w:t xml:space="preserve">Zitiervorschlag: § 3d AsylVfG 1992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https://recht.nulegal.eu/gesetze/AsylVfG%201992/3d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