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3c AsylVfG 1992 — Akteure, von denen Verfolgung ausgehen kann</w:t>
      </w:r>
    </w:p>
    <w:p>
      <w:r>
        <w:rPr>
          <w:color w:val="555555"/>
          <w:sz w:val="18"/>
        </w:rPr>
        <w:t xml:space="preserve">Asylgesetz</w:t>
      </w:r>
    </w:p>
    <w:p>
      <w:r>
        <w:rPr>
          <w:color w:val="555555"/>
          <w:sz w:val="18"/>
        </w:rPr>
        <w:t xml:space="preserve">Außer Kraft: § 3c ist seit 12.06.2026 nicht mehr im AsylVfG 1992 enthalten. Angezeigt wird die letzte bekannte Fassung, Stand 10.06.2019.</w:t>
      </w:r>
    </w:p>
    <w:p>
      <w:r>
        <w:t xml:space="preserve">Die Verfolgung kann ausgehen von</w:t>
      </w:r>
    </w:p>
    <w:p>
      <w:pPr>
        <w:ind w:left="420"/>
      </w:pPr>
      <w:r>
        <w:t xml:space="preserve">1. dem Staat,</w:t>
      </w:r>
    </w:p>
    <w:p>
      <w:pPr>
        <w:ind w:left="420"/>
      </w:pPr>
      <w:r>
        <w:t xml:space="preserve">2. Parteien oder Organisationen, die den Staat oder einen wesentlichen Teil des Staatsgebiets beherrschen, oder</w:t>
      </w:r>
    </w:p>
    <w:p>
      <w:pPr>
        <w:ind w:left="420"/>
      </w:pPr>
      <w:r>
        <w:t xml:space="preserve">3. nichtstaatlichen Akteuren, sofern die in den Nummern 1 und 2 genannten Akteure einschließlich internationaler Organisationen erwiesenermaßen nicht in der Lage oder nicht willens sind, im Sinne des § 3d Schutz vor Verfolgung zu bieten, und dies unabhängig davon, ob in dem Land eine staatliche Herrschaftsmacht vorhanden ist oder nicht.</w:t>
      </w:r>
    </w:p>
    <w:p>
      <w:r>
        <w:rPr>
          <w:color w:val="555555"/>
          <w:sz w:val="17"/>
        </w:rPr>
        <w:t xml:space="preserve">Zitiervorschlag: § 3c AsylVfG 1992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https://recht.nulegal.eu/gesetze/AsylVfG%201992/3c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