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AsylVfG 1992 — Verfahren bei Fällen des Artikels 68 Absatz 3 der Verordnung (EU) 2024/1348</w:t>
      </w:r>
    </w:p>
    <w:p>
      <w:r>
        <w:rPr>
          <w:color w:val="555555"/>
          <w:sz w:val="18"/>
        </w:rPr>
        <w:t xml:space="preserve">Asylgesetz</w:t>
      </w:r>
    </w:p>
    <w:p>
      <w:r>
        <w:rPr>
          <w:color w:val="555555"/>
          <w:sz w:val="18"/>
        </w:rPr>
        <w:t xml:space="preserve">Stand: 12.06.2026 (konsolidierte Textfassung, kein amtliches Inkrafttretensdatum)</w:t>
      </w:r>
    </w:p>
    <w:p>
      <w:r>
        <w:t xml:space="preserve">(1) Das Bundesamt übermittelt in den Fällen des Artikels 68 Absatz 3 der Verordnung (EU) 2024/1348 mit der Zustellung der Entscheidung den Beteiligten eine Kopie des Inhalts der Asylakte.</w:t>
      </w:r>
    </w:p>
    <w:p>
      <w:r>
        <w:t xml:space="preserve">(2) Anträge nach § 80 Absatz 5 der Verwaltungsgerichtsordnung gegen die Abschiebungsandrohung sind innerhalb einer Woche nach Bekanntgabe zu stellen; dem Antrag soll der Bescheid des Bundesamtes beigefügt werden. Der Ausländer ist hierauf hinzuweisen. § 58 der Verwaltungsgerichtsordnung ist mit der Maßgabe, dass die Frist nach § 58 Absatz 2 der Verwaltungsgerichtsordnung drei Monate beträgt, entsprechend anzuwenden. Die Entscheidung soll im schriftlichen Verfahren ergehen; eine mündliche Verhandlung, in der zugleich über die Klage verhandelt wird, ist unzulässig. Die Entscheidung soll innerhalb von einer Woche nach Ablauf der Frist des Satzes 1 ergehen. Die Kammer des Verwaltungsgerichts kann die Frist nach Satz 5 um jeweils eine weitere Woche verlängern. Die zweite Verlängerung und weitere Verlängerungen sind nur bei Vorliegen schwerwiegender Gründe zulässig, insbesondere wenn eine außergewöhnliche Belastung des Gerichts eine frühere Entscheidung nicht möglich macht. Das Gericht teilt dem Bundesamt das Datum der Bekanntgabe der Entscheidung mit. Die Entscheidung ist ergangen, wenn die vollständig unterschriebene Entscheidungsformel der Geschäftsstelle der Kammer vorliegt. Anträge auf Gewährung vorläufigen Rechtsschutzes gegen die Anordnung und Befristung des Einreise- und Aufenthaltsverbots durch das Bundesamt nach § 11 Absatz 2 des Aufenthaltsgesetzes und die Anordnung und Befristung nach § 11 Absatz 7 des Aufenthaltsgesetzes sind ebenso innerhalb einer Woche nach Bekanntgabe zu stellen. Die Vollziehbarkeit der Abschiebungsandrohung bleibt hiervon unberührt.</w:t>
      </w:r>
    </w:p>
    <w:p>
      <w:r>
        <w:t xml:space="preserve">(3) Die Aussetzung der Abschiebung darf nur angeordnet werden, wenn ernstliche Zweifel an der Rechtmäßigkeit des angegriffenen Verwaltungsaktes bestehen. Tatsachen und Beweismittel, die von den Beteiligten nicht angegeben worden sind, bleiben unberücksichtigt, es sei denn, sie sind gerichtsbekannt oder offenkundig. Ein Vorbringen, das nach § 25 Absatz 2 im Verwaltungsverfahren unberücksichtigt geblieben ist, sowie Tatsachen und Umstände im Sinne des § 25 Absatz 1, die der Ausländer im Verwaltungsverfahren nicht angegeben hat, kann das Gericht unberücksichtigt lassen, wenn andernfalls die Entscheidung verzögert würde.</w:t>
      </w:r>
    </w:p>
    <w:p>
      <w:r>
        <w:rPr>
          <w:color w:val="555555"/>
          <w:sz w:val="17"/>
        </w:rPr>
        <w:t xml:space="preserve">Zitiervorschlag: § 36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