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34a AsylVfG 1992 — Abschiebungsanordnung</w:t>
      </w:r>
    </w:p>
    <w:p>
      <w:r>
        <w:rPr>
          <w:color w:val="555555"/>
          <w:sz w:val="18"/>
        </w:rPr>
        <w:t xml:space="preserve">Asylgesetz</w:t>
      </w:r>
    </w:p>
    <w:p>
      <w:r>
        <w:rPr>
          <w:color w:val="555555"/>
          <w:sz w:val="18"/>
        </w:rPr>
        <w:t xml:space="preserve">Stand: 12.06.2026 (konsolidierte Textfassung, kein amtliches Inkrafttretensdatum)</w:t>
      </w:r>
    </w:p>
    <w:p>
      <w:r>
        <w:t xml:space="preserve">(1) Soll der Ausländer in einen für die Durchführung des Asylverfahrens zuständigen Staat infolge einer Überstellungsentscheidung nach Artikel 42 Absatz 1 oder Artikel 67 Absatz 10 der Verordnung (EU) 2024/1351 überstellt werden, ordnet das Bundesamt die Abschiebung in diesen Staat an, sobald feststeht, dass sie durchgeführt werden kann. Einer vorherigen Androhung und Fristsetzung bedarf es nicht. Kann eine Abschiebungsanordnung nach Satz 1 nicht ergehen, erlässt das Bundesamt eine Abschiebungsandrohung für den jeweiligen Staat.</w:t>
      </w:r>
    </w:p>
    <w:p>
      <w:r>
        <w:t xml:space="preserve">(2) In den Fällen des Absatzes 1 stellt das Bundesamt fest, ob die Voraussetzungen des § 60 Absatz 5 oder 7 des Aufenthaltsgesetzes vorliegen. Von der Feststellung nach Satz 1 kann abgesehen werden, wenn das Bundesamt in einem früheren Verfahren über das Vorliegen der Voraussetzungen des § 60 Absatz 5 und 7 des Aufenthaltsgesetzes entschieden hat und die Voraussetzungen des § 51 Absatz 1 bis 3 des Verwaltungsverfahrensgesetzes nicht vorliegen.</w:t>
      </w:r>
    </w:p>
    <w:p>
      <w:r>
        <w:t xml:space="preserve">(3) Anträge nach § 80 Absatz 5 der Verwaltungsgerichtsordnung gegen die Abschiebungsanordnung sind innerhalb einer Woche nach Bekanntgabe zu stellen. Die Abschiebung ist bei rechtzeitiger Antragstellung vor der gerichtlichen Entscheidung nicht zulässig. Anträge auf Gewährung vorläufigen Rechtsschutzes gegen die Anordnung und Befristung des Einreise- und Aufenthaltsverbots durch das Bundesamt nach § 11 Absatz 2 des Aufenthaltsgesetzes sind innerhalb einer Woche nach Bekanntgabe zu stellen. Die Vollziehbarkeit der Abschiebungsanordnung bleibt hiervon unberührt. § 58 der Verwaltungsgerichtsordnung gilt mit der Maßgabe, dass die Frist nach § 58 Absatz 2 der Verwaltungsgerichtsordnung drei Monate beträgt.</w:t>
      </w:r>
    </w:p>
    <w:p>
      <w:r>
        <w:rPr>
          <w:color w:val="555555"/>
          <w:sz w:val="17"/>
        </w:rPr>
        <w:t xml:space="preserve">Zitiervorschlag: § 34a AsylVfG 1992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https://recht.nulegal.eu/gesetze/AsylVfG%201992/34a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